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10" w:rsidRDefault="006F31B9" w:rsidP="006F31B9">
      <w:pPr>
        <w:spacing w:line="276" w:lineRule="auto"/>
        <w:ind w:left="142" w:right="140"/>
        <w:jc w:val="center"/>
        <w:rPr>
          <w:rFonts w:ascii="Century" w:eastAsia="Times New Roman" w:hAnsi="Century"/>
          <w:b/>
          <w:sz w:val="32"/>
          <w:szCs w:val="32"/>
          <w:lang w:val="id-ID"/>
        </w:rPr>
      </w:pPr>
      <w:r w:rsidRPr="007B1926">
        <w:rPr>
          <w:rFonts w:ascii="Century" w:eastAsia="Times New Roman" w:hAnsi="Century"/>
          <w:b/>
          <w:sz w:val="32"/>
          <w:szCs w:val="32"/>
          <w:lang w:val="id-ID"/>
        </w:rPr>
        <w:t xml:space="preserve">PENGARUH KEBIJAKAN DIVIDEN, PROFITABILITAS, DAN LIKUIDITAS TERHADAP HARGA SAHAM PADA PERUSAHAAN </w:t>
      </w:r>
      <w:r w:rsidRPr="007B1926">
        <w:rPr>
          <w:rFonts w:ascii="Century" w:eastAsia="Times New Roman" w:hAnsi="Century"/>
          <w:b/>
          <w:i/>
          <w:sz w:val="32"/>
          <w:szCs w:val="32"/>
          <w:lang w:val="id-ID"/>
        </w:rPr>
        <w:t xml:space="preserve">GO PUBLIC </w:t>
      </w:r>
      <w:r w:rsidRPr="007B1926">
        <w:rPr>
          <w:rFonts w:ascii="Century" w:eastAsia="Times New Roman" w:hAnsi="Century"/>
          <w:b/>
          <w:sz w:val="32"/>
          <w:szCs w:val="32"/>
          <w:lang w:val="id-ID"/>
        </w:rPr>
        <w:t>PADA INDUSTRI OTOMOTIF YANG TERDAFTAR DI BURSA EFEK INDONESIA (BEI) PERIODE 2016 – 2018</w:t>
      </w:r>
    </w:p>
    <w:p w:rsidR="007B1926" w:rsidRDefault="007B1926" w:rsidP="007B1926">
      <w:pPr>
        <w:spacing w:line="276" w:lineRule="auto"/>
        <w:ind w:left="142" w:right="140"/>
        <w:jc w:val="right"/>
        <w:rPr>
          <w:rFonts w:ascii="Century" w:eastAsia="Times New Roman" w:hAnsi="Century"/>
          <w:b/>
          <w:sz w:val="32"/>
          <w:szCs w:val="32"/>
          <w:lang w:val="id-ID"/>
        </w:rPr>
      </w:pPr>
    </w:p>
    <w:p w:rsidR="007B1926" w:rsidRPr="007B1926" w:rsidRDefault="007B1926" w:rsidP="006F31B9">
      <w:pPr>
        <w:spacing w:line="276" w:lineRule="auto"/>
        <w:ind w:left="142" w:right="140"/>
        <w:jc w:val="center"/>
        <w:rPr>
          <w:rFonts w:ascii="Century" w:eastAsia="Times New Roman" w:hAnsi="Century"/>
          <w:b/>
          <w:sz w:val="32"/>
          <w:szCs w:val="32"/>
          <w:lang w:val="id-ID"/>
        </w:rPr>
      </w:pPr>
      <w:r w:rsidRPr="007B1926">
        <w:rPr>
          <w:rFonts w:ascii="Century" w:eastAsia="Times New Roman" w:hAnsi="Century"/>
          <w:b/>
          <w:sz w:val="32"/>
          <w:szCs w:val="32"/>
          <w:lang w:val="id-ID"/>
        </w:rPr>
        <w:t>THE INFLUENCE OF DIVIDEND POLICY, PROFITABILITY, AND LIQUIDITY ON STOCK PRICES IN GO PUBLIC COMPANIES IN AUTOMOTIVE INDUSTRIES REGISTERED IN INDONESIA STOCK EXCHANGE (BEI) PERIOD 2016 - 2018</w:t>
      </w:r>
    </w:p>
    <w:p w:rsidR="00594F10" w:rsidRPr="00810C78" w:rsidRDefault="00594F10" w:rsidP="00594F10">
      <w:pPr>
        <w:ind w:left="142" w:right="140"/>
        <w:jc w:val="center"/>
        <w:rPr>
          <w:rFonts w:ascii="Century" w:eastAsia="Times New Roman" w:hAnsi="Century"/>
          <w:b/>
          <w:lang w:val="id-ID"/>
        </w:rPr>
      </w:pPr>
    </w:p>
    <w:p w:rsidR="00594F10" w:rsidRPr="007B1926" w:rsidRDefault="006F31B9" w:rsidP="00594F10">
      <w:pPr>
        <w:jc w:val="center"/>
        <w:rPr>
          <w:rFonts w:ascii="Century" w:eastAsia="Times New Roman" w:hAnsi="Century"/>
          <w:b/>
          <w:sz w:val="24"/>
          <w:szCs w:val="24"/>
          <w:u w:val="single"/>
        </w:rPr>
      </w:pPr>
      <w:r w:rsidRPr="007B1926">
        <w:rPr>
          <w:rFonts w:ascii="Century" w:eastAsia="Times New Roman" w:hAnsi="Century"/>
          <w:b/>
          <w:sz w:val="24"/>
          <w:szCs w:val="24"/>
          <w:u w:val="single"/>
        </w:rPr>
        <w:t xml:space="preserve">Mita Wijayanti </w:t>
      </w:r>
    </w:p>
    <w:p w:rsidR="006F31B9" w:rsidRPr="007B1926" w:rsidRDefault="006F31B9" w:rsidP="006F31B9">
      <w:pPr>
        <w:rPr>
          <w:rFonts w:ascii="Century" w:hAnsi="Century"/>
          <w:sz w:val="24"/>
          <w:szCs w:val="24"/>
        </w:rPr>
      </w:pPr>
    </w:p>
    <w:p w:rsidR="00594F10" w:rsidRPr="007B1926" w:rsidRDefault="00594F10" w:rsidP="00594F10">
      <w:pPr>
        <w:jc w:val="center"/>
        <w:rPr>
          <w:rFonts w:ascii="Century" w:hAnsi="Century" w:cs="Times New Roman"/>
          <w:sz w:val="24"/>
          <w:szCs w:val="24"/>
        </w:rPr>
      </w:pPr>
      <w:r w:rsidRPr="007B1926">
        <w:rPr>
          <w:rFonts w:ascii="Century" w:hAnsi="Century" w:cs="Times New Roman"/>
          <w:sz w:val="24"/>
          <w:szCs w:val="24"/>
        </w:rPr>
        <w:t>Fakultas Ekonomi, Jurusan Manajemen, Universitas Islam Lamongan</w:t>
      </w:r>
    </w:p>
    <w:p w:rsidR="00594F10" w:rsidRPr="007B1926" w:rsidRDefault="00594F10" w:rsidP="00594F10">
      <w:pPr>
        <w:spacing w:line="276" w:lineRule="auto"/>
        <w:ind w:left="142" w:right="140"/>
        <w:jc w:val="center"/>
        <w:rPr>
          <w:rFonts w:ascii="Century" w:eastAsia="Times New Roman" w:hAnsi="Century"/>
          <w:i/>
          <w:sz w:val="24"/>
          <w:szCs w:val="24"/>
          <w:lang w:val="id-ID"/>
        </w:rPr>
      </w:pPr>
      <w:r w:rsidRPr="007B1926">
        <w:rPr>
          <w:rFonts w:ascii="Century" w:eastAsia="Times New Roman" w:hAnsi="Century"/>
          <w:i/>
          <w:sz w:val="24"/>
          <w:szCs w:val="24"/>
        </w:rPr>
        <w:t xml:space="preserve">Email: </w:t>
      </w:r>
      <w:hyperlink r:id="rId8" w:history="1">
        <w:r w:rsidR="006F31B9" w:rsidRPr="007B1926">
          <w:rPr>
            <w:rStyle w:val="Hyperlink"/>
            <w:rFonts w:ascii="Century" w:eastAsia="Times New Roman" w:hAnsi="Century" w:cs="Arial"/>
            <w:i/>
            <w:color w:val="auto"/>
            <w:sz w:val="24"/>
            <w:szCs w:val="24"/>
            <w:lang w:val="id-ID"/>
          </w:rPr>
          <w:t>mitaw649@gmail.com</w:t>
        </w:r>
      </w:hyperlink>
      <w:r w:rsidR="006F31B9" w:rsidRPr="007B1926">
        <w:rPr>
          <w:rFonts w:ascii="Century" w:eastAsia="Times New Roman" w:hAnsi="Century"/>
          <w:i/>
          <w:sz w:val="24"/>
          <w:szCs w:val="24"/>
          <w:lang w:val="id-ID"/>
        </w:rPr>
        <w:t xml:space="preserve"> </w:t>
      </w:r>
    </w:p>
    <w:p w:rsidR="00810C78" w:rsidRPr="007B1926" w:rsidRDefault="00810C78" w:rsidP="00810C78">
      <w:pPr>
        <w:spacing w:line="276" w:lineRule="auto"/>
        <w:ind w:left="142" w:right="140"/>
        <w:jc w:val="center"/>
        <w:rPr>
          <w:rFonts w:ascii="Century" w:eastAsia="Times New Roman" w:hAnsi="Century"/>
          <w:sz w:val="24"/>
          <w:szCs w:val="24"/>
        </w:rPr>
      </w:pPr>
    </w:p>
    <w:p w:rsidR="00810C78" w:rsidRPr="00810C78" w:rsidRDefault="00810C78" w:rsidP="00810C78">
      <w:pPr>
        <w:shd w:val="clear" w:color="auto" w:fill="FFFFFF"/>
        <w:jc w:val="center"/>
        <w:rPr>
          <w:rFonts w:ascii="Century" w:hAnsi="Century"/>
        </w:rPr>
      </w:pPr>
    </w:p>
    <w:tbl>
      <w:tblPr>
        <w:tblW w:w="0" w:type="auto"/>
        <w:tblInd w:w="10" w:type="dxa"/>
        <w:tblLook w:val="04A0"/>
      </w:tblPr>
      <w:tblGrid>
        <w:gridCol w:w="2603"/>
        <w:gridCol w:w="358"/>
        <w:gridCol w:w="6272"/>
      </w:tblGrid>
      <w:tr w:rsidR="00810C78" w:rsidRPr="00810C78" w:rsidTr="00810C78">
        <w:tc>
          <w:tcPr>
            <w:tcW w:w="2618" w:type="dxa"/>
            <w:tcBorders>
              <w:top w:val="double" w:sz="6" w:space="0" w:color="auto"/>
            </w:tcBorders>
            <w:shd w:val="clear" w:color="auto" w:fill="auto"/>
          </w:tcPr>
          <w:p w:rsidR="00810C78" w:rsidRPr="00810C78" w:rsidRDefault="00810C78" w:rsidP="00810C78">
            <w:pPr>
              <w:rPr>
                <w:rFonts w:ascii="Century" w:hAnsi="Century"/>
                <w:b/>
              </w:rPr>
            </w:pPr>
          </w:p>
        </w:tc>
        <w:tc>
          <w:tcPr>
            <w:tcW w:w="360" w:type="dxa"/>
            <w:tcBorders>
              <w:top w:val="double" w:sz="6" w:space="0" w:color="auto"/>
            </w:tcBorders>
            <w:shd w:val="clear" w:color="auto" w:fill="auto"/>
          </w:tcPr>
          <w:p w:rsidR="00810C78" w:rsidRPr="00810C78" w:rsidRDefault="00810C78" w:rsidP="00810C78">
            <w:pPr>
              <w:rPr>
                <w:rFonts w:ascii="Century" w:hAnsi="Century"/>
                <w:b/>
              </w:rPr>
            </w:pPr>
          </w:p>
        </w:tc>
        <w:tc>
          <w:tcPr>
            <w:tcW w:w="6334" w:type="dxa"/>
            <w:tcBorders>
              <w:top w:val="double" w:sz="6" w:space="0" w:color="auto"/>
              <w:bottom w:val="single" w:sz="4" w:space="0" w:color="auto"/>
            </w:tcBorders>
            <w:shd w:val="clear" w:color="auto" w:fill="auto"/>
          </w:tcPr>
          <w:p w:rsidR="00810C78" w:rsidRPr="00810C78" w:rsidRDefault="00810C78" w:rsidP="00810C78">
            <w:pPr>
              <w:rPr>
                <w:rFonts w:ascii="Century" w:hAnsi="Century"/>
                <w:b/>
                <w:lang w:val="id-ID"/>
              </w:rPr>
            </w:pPr>
            <w:r w:rsidRPr="00810C78">
              <w:rPr>
                <w:rFonts w:ascii="Century" w:hAnsi="Century"/>
                <w:b/>
              </w:rPr>
              <w:t>Abstrak</w:t>
            </w:r>
            <w:r w:rsidRPr="00810C78">
              <w:rPr>
                <w:rFonts w:ascii="Century" w:hAnsi="Century"/>
              </w:rPr>
              <w:t xml:space="preserve"> </w:t>
            </w:r>
          </w:p>
        </w:tc>
      </w:tr>
      <w:tr w:rsidR="00810C78" w:rsidRPr="00810C78" w:rsidTr="00810C78">
        <w:tc>
          <w:tcPr>
            <w:tcW w:w="2618" w:type="dxa"/>
            <w:shd w:val="clear" w:color="auto" w:fill="auto"/>
          </w:tcPr>
          <w:p w:rsidR="00810C78" w:rsidRPr="00810C78" w:rsidRDefault="00810C78" w:rsidP="00810C78">
            <w:pPr>
              <w:rPr>
                <w:rFonts w:ascii="Century" w:hAnsi="Century"/>
              </w:rPr>
            </w:pPr>
          </w:p>
        </w:tc>
        <w:tc>
          <w:tcPr>
            <w:tcW w:w="360" w:type="dxa"/>
            <w:shd w:val="clear" w:color="auto" w:fill="auto"/>
          </w:tcPr>
          <w:p w:rsidR="00810C78" w:rsidRPr="00810C78" w:rsidRDefault="00810C78" w:rsidP="00810C78">
            <w:pPr>
              <w:rPr>
                <w:rFonts w:ascii="Century" w:hAnsi="Century"/>
                <w:lang w:val="id-ID"/>
              </w:rPr>
            </w:pPr>
          </w:p>
        </w:tc>
        <w:tc>
          <w:tcPr>
            <w:tcW w:w="6334" w:type="dxa"/>
            <w:vMerge w:val="restart"/>
            <w:shd w:val="clear" w:color="auto" w:fill="auto"/>
          </w:tcPr>
          <w:p w:rsidR="00810C78" w:rsidRPr="00810C78" w:rsidRDefault="00810C78" w:rsidP="007B1926">
            <w:pPr>
              <w:jc w:val="both"/>
              <w:rPr>
                <w:rFonts w:ascii="Century" w:eastAsia="Times New Roman" w:hAnsi="Century"/>
              </w:rPr>
            </w:pPr>
            <w:r w:rsidRPr="00810C78">
              <w:rPr>
                <w:rFonts w:ascii="Century" w:eastAsia="Times New Roman" w:hAnsi="Century"/>
              </w:rPr>
              <w:t xml:space="preserve">penelitian </w:t>
            </w:r>
            <w:r w:rsidR="007B1926">
              <w:rPr>
                <w:rFonts w:ascii="Century" w:eastAsia="Times New Roman" w:hAnsi="Century"/>
                <w:lang w:val="id-ID"/>
              </w:rPr>
              <w:t xml:space="preserve">bertujuan untuk mengetahui pengaruh </w:t>
            </w:r>
            <w:r w:rsidRPr="00810C78">
              <w:rPr>
                <w:rFonts w:ascii="Century" w:eastAsia="Times New Roman" w:hAnsi="Century"/>
                <w:lang w:val="id-ID"/>
              </w:rPr>
              <w:t xml:space="preserve">kebijakan dividen, profitabilitas, dan likuiditas terhadap harga saham pada perusahaan </w:t>
            </w:r>
            <w:r w:rsidRPr="00810C78">
              <w:rPr>
                <w:rFonts w:ascii="Century" w:eastAsia="Times New Roman" w:hAnsi="Century"/>
                <w:i/>
                <w:lang w:val="id-ID"/>
              </w:rPr>
              <w:t xml:space="preserve">go public </w:t>
            </w:r>
            <w:r w:rsidRPr="00810C78">
              <w:rPr>
                <w:rFonts w:ascii="Century" w:eastAsia="Times New Roman" w:hAnsi="Century"/>
                <w:lang w:val="id-ID"/>
              </w:rPr>
              <w:t xml:space="preserve">pada industri otomotif yang terdaftar di Bursa Efek Indonesia (BEI) periode 2016 – 2018. </w:t>
            </w:r>
            <w:r w:rsidRPr="00810C78">
              <w:rPr>
                <w:rFonts w:ascii="Century" w:eastAsia="Times New Roman" w:hAnsi="Century"/>
              </w:rPr>
              <w:t>Penelitian ini bertujuan untuk mengetahui</w:t>
            </w:r>
            <w:r w:rsidRPr="00810C78">
              <w:rPr>
                <w:rFonts w:ascii="Century" w:eastAsia="Times New Roman" w:hAnsi="Century"/>
                <w:lang w:val="id-ID"/>
              </w:rPr>
              <w:t xml:space="preserve"> kebijakan dividen, profitabilitas, dan likuiditas terhadap harga saham pada perusahaan </w:t>
            </w:r>
            <w:r w:rsidRPr="00810C78">
              <w:rPr>
                <w:rFonts w:ascii="Century" w:eastAsia="Times New Roman" w:hAnsi="Century"/>
                <w:i/>
                <w:lang w:val="id-ID"/>
              </w:rPr>
              <w:t xml:space="preserve">go public </w:t>
            </w:r>
            <w:r w:rsidRPr="00810C78">
              <w:rPr>
                <w:rFonts w:ascii="Century" w:eastAsia="Times New Roman" w:hAnsi="Century"/>
                <w:lang w:val="id-ID"/>
              </w:rPr>
              <w:t>pada industri otomotif yang terdaftar di Bursa Efek Indonesia (BEI) periode 2016 – 2018</w:t>
            </w:r>
            <w:r w:rsidRPr="00810C78">
              <w:rPr>
                <w:rFonts w:ascii="Century" w:eastAsia="Times New Roman" w:hAnsi="Century"/>
              </w:rPr>
              <w:t>.</w:t>
            </w:r>
            <w:r w:rsidRPr="00810C78">
              <w:rPr>
                <w:rFonts w:ascii="Century" w:eastAsia="Times New Roman" w:hAnsi="Century"/>
                <w:lang w:val="id-ID"/>
              </w:rPr>
              <w:t xml:space="preserve"> </w:t>
            </w:r>
            <w:r w:rsidRPr="00810C78">
              <w:rPr>
                <w:rFonts w:ascii="Century" w:eastAsia="Times New Roman" w:hAnsi="Century"/>
              </w:rPr>
              <w:t xml:space="preserve">Penelitian ini menggunakan </w:t>
            </w:r>
            <w:r w:rsidRPr="00810C78">
              <w:rPr>
                <w:rFonts w:ascii="Century" w:hAnsi="Century"/>
              </w:rPr>
              <w:t>Pendekatan Kuantitatif dengan menggunakan jenis penelitian data sekunder</w:t>
            </w:r>
            <w:r w:rsidRPr="00810C78">
              <w:rPr>
                <w:rFonts w:ascii="Century" w:eastAsia="Times New Roman" w:hAnsi="Century"/>
              </w:rPr>
              <w:t xml:space="preserve">. Teknik pengambilan sampel yang digunakan adalah </w:t>
            </w:r>
            <w:r w:rsidRPr="00810C78">
              <w:rPr>
                <w:rFonts w:ascii="Century" w:eastAsia="Times New Roman" w:hAnsi="Century"/>
                <w:i/>
                <w:iCs/>
              </w:rPr>
              <w:t>purposive sampling</w:t>
            </w:r>
            <w:r w:rsidRPr="00810C78">
              <w:rPr>
                <w:rFonts w:ascii="Century" w:eastAsia="Times New Roman" w:hAnsi="Century"/>
              </w:rPr>
              <w:t>, Populasi dalam penelitian ini adalah</w:t>
            </w:r>
            <w:r w:rsidRPr="00810C78">
              <w:rPr>
                <w:rFonts w:ascii="Century" w:eastAsia="Times New Roman" w:hAnsi="Century"/>
                <w:lang w:val="id-ID"/>
              </w:rPr>
              <w:t xml:space="preserve"> perusahaan </w:t>
            </w:r>
            <w:r w:rsidRPr="00810C78">
              <w:rPr>
                <w:rFonts w:ascii="Century" w:eastAsia="Times New Roman" w:hAnsi="Century"/>
                <w:i/>
                <w:lang w:val="id-ID"/>
              </w:rPr>
              <w:t xml:space="preserve">go public </w:t>
            </w:r>
            <w:r w:rsidRPr="00810C78">
              <w:rPr>
                <w:rFonts w:ascii="Century" w:eastAsia="Times New Roman" w:hAnsi="Century"/>
                <w:lang w:val="id-ID"/>
              </w:rPr>
              <w:t>pada industri otomotif yang terdaftar di Bursa Efek Indonesia (BEI) periode 2016 – 2018 sebanyak 13 perusahaan</w:t>
            </w:r>
            <w:r w:rsidRPr="00810C78">
              <w:rPr>
                <w:rFonts w:ascii="Century" w:eastAsia="Times New Roman" w:hAnsi="Century"/>
              </w:rPr>
              <w:t>, sehingga sampel yang terpilih sebanyak 4 perusahaan yang</w:t>
            </w:r>
            <w:r w:rsidRPr="00810C78">
              <w:rPr>
                <w:rFonts w:ascii="Century" w:eastAsia="Times New Roman" w:hAnsi="Century"/>
                <w:lang w:val="id-ID"/>
              </w:rPr>
              <w:t xml:space="preserve"> memenuhi kriteria</w:t>
            </w:r>
            <w:r w:rsidRPr="00810C78">
              <w:rPr>
                <w:rFonts w:ascii="Century" w:eastAsia="Times New Roman" w:hAnsi="Century"/>
              </w:rPr>
              <w:t xml:space="preserve">. Analisis dilakukan dengan cara </w:t>
            </w:r>
            <w:r w:rsidRPr="00810C78">
              <w:rPr>
                <w:rFonts w:ascii="Century" w:eastAsia="Times New Roman" w:hAnsi="Century"/>
                <w:lang w:val="id-ID"/>
              </w:rPr>
              <w:t xml:space="preserve">melihat laporan keuangan laba rugi per 31 Desember dari tahun 2016 – 2018 yang diakses melalui </w:t>
            </w:r>
            <w:hyperlink r:id="rId9" w:history="1">
              <w:r w:rsidRPr="00927156">
                <w:rPr>
                  <w:rStyle w:val="Hyperlink"/>
                  <w:rFonts w:ascii="Century" w:eastAsia="Times New Roman" w:hAnsi="Century" w:cs="Arial"/>
                  <w:color w:val="auto"/>
                  <w:lang w:val="id-ID"/>
                </w:rPr>
                <w:t>www.idx.co.id</w:t>
              </w:r>
            </w:hyperlink>
            <w:r w:rsidRPr="00810C78">
              <w:rPr>
                <w:rFonts w:ascii="Century" w:eastAsia="Times New Roman" w:hAnsi="Century"/>
                <w:lang w:val="id-ID"/>
              </w:rPr>
              <w:t xml:space="preserve"> dan dihitung menggunakan rumus masing – masing  per variabel, </w:t>
            </w:r>
            <w:r w:rsidRPr="00810C78">
              <w:rPr>
                <w:rFonts w:ascii="Century" w:eastAsia="Times New Roman" w:hAnsi="Century"/>
              </w:rPr>
              <w:t xml:space="preserve">kemudian dilakukan uji parsial dan simultan menggunakan </w:t>
            </w:r>
            <w:r w:rsidRPr="00810C78">
              <w:rPr>
                <w:rFonts w:ascii="Century" w:eastAsia="Times New Roman" w:hAnsi="Century"/>
                <w:lang w:val="id-ID"/>
              </w:rPr>
              <w:t xml:space="preserve">menguji variabel bebas satu persatu </w:t>
            </w:r>
            <w:r w:rsidRPr="00810C78">
              <w:rPr>
                <w:rFonts w:ascii="Century" w:eastAsia="Times New Roman" w:hAnsi="Century"/>
              </w:rPr>
              <w:t>dengan nilai signifikan 0</w:t>
            </w:r>
            <w:r w:rsidRPr="00810C78">
              <w:rPr>
                <w:rFonts w:ascii="Century" w:eastAsia="Times New Roman" w:hAnsi="Century"/>
                <w:lang w:val="id-ID"/>
              </w:rPr>
              <w:t>,</w:t>
            </w:r>
            <w:r w:rsidRPr="00810C78">
              <w:rPr>
                <w:rFonts w:ascii="Century" w:eastAsia="Times New Roman" w:hAnsi="Century"/>
              </w:rPr>
              <w:t>05. Uji parsial telah dilakukan dan dihasilkan t</w:t>
            </w:r>
            <w:r w:rsidRPr="00810C78">
              <w:rPr>
                <w:rFonts w:ascii="Century" w:eastAsia="Times New Roman" w:hAnsi="Century"/>
                <w:vertAlign w:val="subscript"/>
              </w:rPr>
              <w:t>hitung</w:t>
            </w:r>
            <w:r w:rsidRPr="00810C78">
              <w:rPr>
                <w:rFonts w:ascii="Century" w:eastAsia="Times New Roman" w:hAnsi="Century"/>
              </w:rPr>
              <w:t xml:space="preserve"> lebih besar dari</w:t>
            </w:r>
            <w:r w:rsidRPr="00810C78">
              <w:rPr>
                <w:rFonts w:ascii="Century" w:eastAsia="Times New Roman" w:hAnsi="Century"/>
                <w:lang w:val="id-ID"/>
              </w:rPr>
              <w:t xml:space="preserve"> </w:t>
            </w:r>
            <w:r w:rsidRPr="00810C78">
              <w:rPr>
                <w:rFonts w:ascii="Century" w:eastAsia="Times New Roman" w:hAnsi="Century"/>
              </w:rPr>
              <w:t>pada t</w:t>
            </w:r>
            <w:r w:rsidRPr="00810C78">
              <w:rPr>
                <w:rFonts w:ascii="Century" w:eastAsia="Times New Roman" w:hAnsi="Century"/>
                <w:vertAlign w:val="subscript"/>
              </w:rPr>
              <w:t>tabel</w:t>
            </w:r>
            <w:r w:rsidRPr="00810C78">
              <w:rPr>
                <w:rFonts w:ascii="Century" w:eastAsia="Times New Roman" w:hAnsi="Century"/>
              </w:rPr>
              <w:t xml:space="preserve"> </w:t>
            </w:r>
            <w:r w:rsidRPr="00810C78">
              <w:rPr>
                <w:rFonts w:ascii="Century" w:hAnsi="Century"/>
              </w:rPr>
              <w:t>(X</w:t>
            </w:r>
            <w:r w:rsidRPr="00810C78">
              <w:rPr>
                <w:rFonts w:ascii="Century" w:hAnsi="Century"/>
                <w:vertAlign w:val="subscript"/>
              </w:rPr>
              <w:t>1</w:t>
            </w:r>
            <w:r w:rsidRPr="00810C78">
              <w:rPr>
                <w:rFonts w:ascii="Century" w:hAnsi="Century"/>
              </w:rPr>
              <w:t xml:space="preserve"> = 2,344&lt;2,306. X</w:t>
            </w:r>
            <w:r w:rsidRPr="00810C78">
              <w:rPr>
                <w:rFonts w:ascii="Century" w:hAnsi="Century"/>
                <w:vertAlign w:val="subscript"/>
              </w:rPr>
              <w:t>2</w:t>
            </w:r>
            <w:r w:rsidRPr="00810C78">
              <w:rPr>
                <w:rFonts w:ascii="Century" w:hAnsi="Century"/>
              </w:rPr>
              <w:t xml:space="preserve"> = 2,359&gt;2,306. X</w:t>
            </w:r>
            <w:r w:rsidRPr="00810C78">
              <w:rPr>
                <w:rFonts w:ascii="Century" w:hAnsi="Century"/>
                <w:vertAlign w:val="subscript"/>
              </w:rPr>
              <w:t>3</w:t>
            </w:r>
            <w:r w:rsidRPr="00810C78">
              <w:rPr>
                <w:rFonts w:ascii="Century" w:hAnsi="Century"/>
              </w:rPr>
              <w:t xml:space="preserve"> = -3,524&lt;2,</w:t>
            </w:r>
            <w:r w:rsidR="00927156">
              <w:rPr>
                <w:rFonts w:ascii="Century" w:hAnsi="Century"/>
              </w:rPr>
              <w:t xml:space="preserve">306). Sehingga dapat diketahui </w:t>
            </w:r>
            <w:r w:rsidRPr="00810C78">
              <w:rPr>
                <w:rFonts w:ascii="Century" w:hAnsi="Century"/>
              </w:rPr>
              <w:t xml:space="preserve">bahwa variabel kebijakan dividen dan </w:t>
            </w:r>
            <w:r w:rsidRPr="00810C78">
              <w:rPr>
                <w:rFonts w:ascii="Century" w:hAnsi="Century"/>
                <w:lang w:val="id-ID"/>
              </w:rPr>
              <w:t xml:space="preserve">profitabilitas mempunyai pengaruh secara parsial yang signifikan terhadap harga saham, </w:t>
            </w:r>
            <w:r w:rsidRPr="00810C78">
              <w:rPr>
                <w:rFonts w:ascii="Century" w:eastAsia="Times New Roman" w:hAnsi="Century"/>
              </w:rPr>
              <w:lastRenderedPageBreak/>
              <w:t xml:space="preserve">sedangkan variabel </w:t>
            </w:r>
            <w:r w:rsidRPr="00810C78">
              <w:rPr>
                <w:rFonts w:ascii="Century" w:eastAsia="Times New Roman" w:hAnsi="Century"/>
                <w:lang w:val="id-ID"/>
              </w:rPr>
              <w:t xml:space="preserve">likuiditas mempunyai pengaruh negatif secara parsial yang signifikan terhadap harga saham. </w:t>
            </w:r>
            <w:r w:rsidRPr="00810C78">
              <w:rPr>
                <w:rFonts w:ascii="Century" w:eastAsia="Times New Roman" w:hAnsi="Century"/>
              </w:rPr>
              <w:t>Dan uji simultan telah dilakukan, dihasilkan F</w:t>
            </w:r>
            <w:r w:rsidRPr="00810C78">
              <w:rPr>
                <w:rFonts w:ascii="Century" w:eastAsia="Times New Roman" w:hAnsi="Century"/>
                <w:vertAlign w:val="subscript"/>
              </w:rPr>
              <w:t>hitung</w:t>
            </w:r>
            <w:r w:rsidRPr="00810C78">
              <w:rPr>
                <w:rFonts w:ascii="Century" w:eastAsia="Times New Roman" w:hAnsi="Century"/>
              </w:rPr>
              <w:t xml:space="preserve"> lebih besar daripada F</w:t>
            </w:r>
            <w:r w:rsidRPr="00810C78">
              <w:rPr>
                <w:rFonts w:ascii="Century" w:eastAsia="Times New Roman" w:hAnsi="Century"/>
                <w:vertAlign w:val="subscript"/>
                <w:lang w:val="id-ID"/>
              </w:rPr>
              <w:t>t</w:t>
            </w:r>
            <w:r w:rsidRPr="00810C78">
              <w:rPr>
                <w:rFonts w:ascii="Century" w:eastAsia="Times New Roman" w:hAnsi="Century"/>
                <w:vertAlign w:val="subscript"/>
              </w:rPr>
              <w:t>abel</w:t>
            </w:r>
            <w:r w:rsidRPr="00810C78">
              <w:rPr>
                <w:rFonts w:ascii="Century" w:eastAsia="Times New Roman" w:hAnsi="Century"/>
              </w:rPr>
              <w:t xml:space="preserve"> </w:t>
            </w:r>
            <w:r w:rsidRPr="00810C78">
              <w:rPr>
                <w:rFonts w:ascii="Century" w:hAnsi="Century"/>
              </w:rPr>
              <w:t>(</w:t>
            </w:r>
            <w:r w:rsidRPr="00810C78">
              <w:rPr>
                <w:rFonts w:ascii="Century" w:hAnsi="Century"/>
                <w:lang w:val="id-ID"/>
              </w:rPr>
              <w:t>4,793</w:t>
            </w:r>
            <w:r w:rsidRPr="00810C78">
              <w:rPr>
                <w:rFonts w:ascii="Century" w:hAnsi="Century"/>
              </w:rPr>
              <w:t xml:space="preserve">&gt;3,86). Sehingga dapat diketahui  bahwa </w:t>
            </w:r>
            <w:r w:rsidRPr="00810C78">
              <w:rPr>
                <w:rFonts w:ascii="Century" w:eastAsia="Times New Roman" w:hAnsi="Century"/>
                <w:lang w:val="id-ID"/>
              </w:rPr>
              <w:t xml:space="preserve">variabel kebijakan dividen, profitabilitas dan likuiditas </w:t>
            </w:r>
            <w:r w:rsidRPr="00810C78">
              <w:rPr>
                <w:rFonts w:ascii="Century" w:hAnsi="Century"/>
              </w:rPr>
              <w:t xml:space="preserve">mempunyai pengaruh simultan terhadap </w:t>
            </w:r>
            <w:r w:rsidRPr="00810C78">
              <w:rPr>
                <w:rFonts w:ascii="Century" w:eastAsia="Times New Roman" w:hAnsi="Century"/>
                <w:lang w:val="id-ID"/>
              </w:rPr>
              <w:t>harga saham</w:t>
            </w:r>
          </w:p>
        </w:tc>
      </w:tr>
      <w:tr w:rsidR="00810C78" w:rsidRPr="00810C78" w:rsidTr="00810C78">
        <w:tc>
          <w:tcPr>
            <w:tcW w:w="2618" w:type="dxa"/>
            <w:shd w:val="clear" w:color="auto" w:fill="auto"/>
          </w:tcPr>
          <w:p w:rsidR="00810C78" w:rsidRPr="00810C78" w:rsidRDefault="00810C78" w:rsidP="00810C78">
            <w:pPr>
              <w:rPr>
                <w:rFonts w:ascii="Century" w:hAnsi="Century"/>
              </w:rPr>
            </w:pPr>
          </w:p>
        </w:tc>
        <w:tc>
          <w:tcPr>
            <w:tcW w:w="360" w:type="dxa"/>
            <w:shd w:val="clear" w:color="auto" w:fill="auto"/>
          </w:tcPr>
          <w:p w:rsidR="00810C78" w:rsidRPr="00810C78" w:rsidRDefault="00810C78" w:rsidP="00810C78">
            <w:pPr>
              <w:rPr>
                <w:rFonts w:ascii="Century" w:hAnsi="Century"/>
                <w:lang w:val="id-ID"/>
              </w:rPr>
            </w:pPr>
          </w:p>
        </w:tc>
        <w:tc>
          <w:tcPr>
            <w:tcW w:w="6334" w:type="dxa"/>
            <w:vMerge/>
            <w:shd w:val="clear" w:color="auto" w:fill="auto"/>
          </w:tcPr>
          <w:p w:rsidR="00810C78" w:rsidRPr="00810C78" w:rsidRDefault="00810C78" w:rsidP="00810C78">
            <w:pPr>
              <w:rPr>
                <w:rFonts w:ascii="Century" w:hAnsi="Century"/>
                <w:lang w:val="id-ID"/>
              </w:rPr>
            </w:pPr>
          </w:p>
        </w:tc>
      </w:tr>
      <w:tr w:rsidR="00810C78" w:rsidRPr="00810C78" w:rsidTr="00810C78">
        <w:tc>
          <w:tcPr>
            <w:tcW w:w="2618" w:type="dxa"/>
            <w:shd w:val="clear" w:color="auto" w:fill="auto"/>
          </w:tcPr>
          <w:p w:rsidR="00810C78" w:rsidRPr="00810C78" w:rsidRDefault="00810C78" w:rsidP="00810C78">
            <w:pPr>
              <w:rPr>
                <w:rFonts w:ascii="Century" w:hAnsi="Century"/>
              </w:rPr>
            </w:pPr>
          </w:p>
        </w:tc>
        <w:tc>
          <w:tcPr>
            <w:tcW w:w="360" w:type="dxa"/>
            <w:shd w:val="clear" w:color="auto" w:fill="auto"/>
          </w:tcPr>
          <w:p w:rsidR="00810C78" w:rsidRPr="00810C78" w:rsidRDefault="00810C78" w:rsidP="00810C78">
            <w:pPr>
              <w:rPr>
                <w:rFonts w:ascii="Century" w:hAnsi="Century"/>
                <w:lang w:val="id-ID"/>
              </w:rPr>
            </w:pPr>
          </w:p>
        </w:tc>
        <w:tc>
          <w:tcPr>
            <w:tcW w:w="6334" w:type="dxa"/>
            <w:vMerge/>
            <w:shd w:val="clear" w:color="auto" w:fill="auto"/>
          </w:tcPr>
          <w:p w:rsidR="00810C78" w:rsidRPr="00810C78" w:rsidRDefault="00810C78" w:rsidP="00810C78">
            <w:pPr>
              <w:rPr>
                <w:rFonts w:ascii="Century" w:hAnsi="Century"/>
                <w:lang w:val="id-ID"/>
              </w:rPr>
            </w:pPr>
          </w:p>
        </w:tc>
      </w:tr>
      <w:tr w:rsidR="00810C78" w:rsidRPr="00810C78" w:rsidTr="00810C78">
        <w:tc>
          <w:tcPr>
            <w:tcW w:w="2618" w:type="dxa"/>
            <w:tcBorders>
              <w:bottom w:val="single" w:sz="4" w:space="0" w:color="auto"/>
            </w:tcBorders>
            <w:shd w:val="clear" w:color="auto" w:fill="auto"/>
          </w:tcPr>
          <w:p w:rsidR="00810C78" w:rsidRPr="00810C78" w:rsidRDefault="00810C78" w:rsidP="00810C78">
            <w:pPr>
              <w:rPr>
                <w:rFonts w:ascii="Century" w:hAnsi="Century"/>
                <w:lang w:val="id-ID"/>
              </w:rPr>
            </w:pPr>
          </w:p>
        </w:tc>
        <w:tc>
          <w:tcPr>
            <w:tcW w:w="360" w:type="dxa"/>
            <w:shd w:val="clear" w:color="auto" w:fill="auto"/>
          </w:tcPr>
          <w:p w:rsidR="00810C78" w:rsidRPr="00810C78" w:rsidRDefault="00810C78" w:rsidP="00810C78">
            <w:pPr>
              <w:rPr>
                <w:rFonts w:ascii="Century" w:hAnsi="Century"/>
                <w:lang w:val="id-ID"/>
              </w:rPr>
            </w:pPr>
          </w:p>
        </w:tc>
        <w:tc>
          <w:tcPr>
            <w:tcW w:w="6334" w:type="dxa"/>
            <w:vMerge/>
            <w:shd w:val="clear" w:color="auto" w:fill="auto"/>
          </w:tcPr>
          <w:p w:rsidR="00810C78" w:rsidRPr="00810C78" w:rsidRDefault="00810C78" w:rsidP="00810C78">
            <w:pPr>
              <w:rPr>
                <w:rFonts w:ascii="Century" w:hAnsi="Century"/>
                <w:lang w:val="id-ID"/>
              </w:rPr>
            </w:pPr>
          </w:p>
        </w:tc>
      </w:tr>
      <w:tr w:rsidR="00810C78" w:rsidRPr="00810C78" w:rsidTr="00810C78">
        <w:trPr>
          <w:trHeight w:val="504"/>
        </w:trPr>
        <w:tc>
          <w:tcPr>
            <w:tcW w:w="2618" w:type="dxa"/>
            <w:tcBorders>
              <w:top w:val="single" w:sz="4" w:space="0" w:color="auto"/>
            </w:tcBorders>
            <w:shd w:val="clear" w:color="auto" w:fill="auto"/>
            <w:vAlign w:val="center"/>
          </w:tcPr>
          <w:p w:rsidR="00810C78" w:rsidRPr="00810C78" w:rsidRDefault="00810C78" w:rsidP="00810C78">
            <w:pPr>
              <w:rPr>
                <w:rFonts w:ascii="Century" w:hAnsi="Century"/>
                <w:b/>
              </w:rPr>
            </w:pPr>
            <w:r w:rsidRPr="00810C78">
              <w:rPr>
                <w:rFonts w:ascii="Century" w:hAnsi="Century"/>
                <w:b/>
              </w:rPr>
              <w:t>Kata Kunci:</w:t>
            </w:r>
          </w:p>
        </w:tc>
        <w:tc>
          <w:tcPr>
            <w:tcW w:w="360" w:type="dxa"/>
            <w:shd w:val="clear" w:color="auto" w:fill="auto"/>
          </w:tcPr>
          <w:p w:rsidR="00810C78" w:rsidRPr="00810C78" w:rsidRDefault="00810C78" w:rsidP="00810C78">
            <w:pPr>
              <w:rPr>
                <w:rFonts w:ascii="Century" w:hAnsi="Century"/>
                <w:lang w:val="id-ID"/>
              </w:rPr>
            </w:pPr>
          </w:p>
        </w:tc>
        <w:tc>
          <w:tcPr>
            <w:tcW w:w="6334" w:type="dxa"/>
            <w:vMerge/>
            <w:shd w:val="clear" w:color="auto" w:fill="auto"/>
          </w:tcPr>
          <w:p w:rsidR="00810C78" w:rsidRPr="00810C78" w:rsidRDefault="00810C78" w:rsidP="00810C78">
            <w:pPr>
              <w:rPr>
                <w:rFonts w:ascii="Century" w:hAnsi="Century"/>
                <w:lang w:val="id-ID"/>
              </w:rPr>
            </w:pPr>
          </w:p>
        </w:tc>
      </w:tr>
      <w:tr w:rsidR="00810C78" w:rsidRPr="00810C78" w:rsidTr="00810C78">
        <w:tc>
          <w:tcPr>
            <w:tcW w:w="2618" w:type="dxa"/>
            <w:shd w:val="clear" w:color="auto" w:fill="auto"/>
          </w:tcPr>
          <w:p w:rsidR="00810C78" w:rsidRPr="00810C78" w:rsidRDefault="00810C78" w:rsidP="00810C78">
            <w:pPr>
              <w:rPr>
                <w:rFonts w:ascii="Century" w:hAnsi="Century"/>
                <w:i/>
              </w:rPr>
            </w:pPr>
            <w:r w:rsidRPr="00810C78">
              <w:rPr>
                <w:rFonts w:ascii="Century" w:hAnsi="Century" w:cs="Times New Roman"/>
                <w:i/>
                <w:lang w:val="id-ID"/>
              </w:rPr>
              <w:t xml:space="preserve">kebijakan dividen, profitabilitas, likuiditas dan harga saham </w:t>
            </w:r>
          </w:p>
        </w:tc>
        <w:tc>
          <w:tcPr>
            <w:tcW w:w="360" w:type="dxa"/>
            <w:shd w:val="clear" w:color="auto" w:fill="auto"/>
          </w:tcPr>
          <w:p w:rsidR="00810C78" w:rsidRPr="00810C78" w:rsidRDefault="00810C78" w:rsidP="00810C78">
            <w:pPr>
              <w:rPr>
                <w:rFonts w:ascii="Century" w:hAnsi="Century"/>
                <w:lang w:val="id-ID"/>
              </w:rPr>
            </w:pPr>
          </w:p>
        </w:tc>
        <w:tc>
          <w:tcPr>
            <w:tcW w:w="6334" w:type="dxa"/>
            <w:vMerge/>
            <w:shd w:val="clear" w:color="auto" w:fill="auto"/>
          </w:tcPr>
          <w:p w:rsidR="00810C78" w:rsidRPr="00810C78" w:rsidRDefault="00810C78" w:rsidP="00810C78">
            <w:pPr>
              <w:rPr>
                <w:rFonts w:ascii="Century" w:hAnsi="Century"/>
                <w:lang w:val="id-ID"/>
              </w:rPr>
            </w:pPr>
          </w:p>
        </w:tc>
      </w:tr>
      <w:tr w:rsidR="00810C78" w:rsidRPr="00810C78" w:rsidTr="00810C78">
        <w:tc>
          <w:tcPr>
            <w:tcW w:w="2618" w:type="dxa"/>
            <w:shd w:val="clear" w:color="auto" w:fill="auto"/>
          </w:tcPr>
          <w:p w:rsidR="00810C78" w:rsidRPr="00810C78" w:rsidRDefault="00810C78" w:rsidP="00810C78">
            <w:pPr>
              <w:rPr>
                <w:rFonts w:ascii="Century" w:hAnsi="Century"/>
                <w:i/>
                <w:lang w:val="id-ID"/>
              </w:rPr>
            </w:pPr>
          </w:p>
        </w:tc>
        <w:tc>
          <w:tcPr>
            <w:tcW w:w="360" w:type="dxa"/>
            <w:shd w:val="clear" w:color="auto" w:fill="auto"/>
          </w:tcPr>
          <w:p w:rsidR="00810C78" w:rsidRPr="00810C78" w:rsidRDefault="00810C78" w:rsidP="00810C78">
            <w:pPr>
              <w:rPr>
                <w:rFonts w:ascii="Century" w:hAnsi="Century"/>
                <w:lang w:val="id-ID"/>
              </w:rPr>
            </w:pPr>
          </w:p>
        </w:tc>
        <w:tc>
          <w:tcPr>
            <w:tcW w:w="6334" w:type="dxa"/>
            <w:vMerge/>
            <w:shd w:val="clear" w:color="auto" w:fill="auto"/>
          </w:tcPr>
          <w:p w:rsidR="00810C78" w:rsidRPr="00810C78" w:rsidRDefault="00810C78" w:rsidP="00810C78">
            <w:pPr>
              <w:rPr>
                <w:rFonts w:ascii="Century" w:hAnsi="Century"/>
                <w:lang w:val="id-ID"/>
              </w:rPr>
            </w:pPr>
          </w:p>
        </w:tc>
      </w:tr>
      <w:tr w:rsidR="00810C78" w:rsidRPr="00810C78" w:rsidTr="00810C78">
        <w:tc>
          <w:tcPr>
            <w:tcW w:w="2618" w:type="dxa"/>
            <w:vMerge w:val="restart"/>
            <w:tcBorders>
              <w:top w:val="single" w:sz="4" w:space="0" w:color="auto"/>
              <w:bottom w:val="single" w:sz="4" w:space="0" w:color="auto"/>
            </w:tcBorders>
            <w:shd w:val="clear" w:color="auto" w:fill="auto"/>
          </w:tcPr>
          <w:p w:rsidR="00810C78" w:rsidRPr="00810C78" w:rsidRDefault="00810C78" w:rsidP="00810C78">
            <w:pPr>
              <w:rPr>
                <w:rFonts w:ascii="Century" w:hAnsi="Century"/>
                <w:i/>
                <w:iCs/>
                <w:lang w:val="id-ID"/>
              </w:rPr>
            </w:pPr>
            <w:r w:rsidRPr="00810C78">
              <w:rPr>
                <w:rFonts w:ascii="Century" w:hAnsi="Century"/>
                <w:b/>
                <w:bCs/>
              </w:rPr>
              <w:lastRenderedPageBreak/>
              <w:t>Keywords :</w:t>
            </w:r>
            <w:r w:rsidRPr="00810C78">
              <w:rPr>
                <w:rFonts w:ascii="Century" w:hAnsi="Century"/>
              </w:rPr>
              <w:t xml:space="preserve"> </w:t>
            </w:r>
          </w:p>
          <w:p w:rsidR="00810C78" w:rsidRPr="00810C78" w:rsidRDefault="00810C78" w:rsidP="00810C78">
            <w:pPr>
              <w:rPr>
                <w:rFonts w:ascii="Century" w:hAnsi="Century"/>
                <w:i/>
                <w:iCs/>
                <w:lang w:val="id-ID"/>
              </w:rPr>
            </w:pPr>
            <w:r w:rsidRPr="00810C78">
              <w:rPr>
                <w:rFonts w:ascii="Century" w:eastAsia="Times New Roman" w:hAnsi="Century" w:cs="Times New Roman"/>
                <w:b/>
                <w:i/>
                <w:lang w:eastAsia="id-ID"/>
              </w:rPr>
              <w:t>Keywords:</w:t>
            </w:r>
            <w:r w:rsidRPr="00810C78">
              <w:rPr>
                <w:rFonts w:ascii="Century" w:eastAsia="Times New Roman" w:hAnsi="Century" w:cs="Times New Roman"/>
                <w:i/>
                <w:lang w:eastAsia="id-ID"/>
              </w:rPr>
              <w:t xml:space="preserve"> dividend policy, profitability, liquidity and stock prices</w:t>
            </w:r>
            <w:r w:rsidRPr="00810C78">
              <w:rPr>
                <w:rFonts w:ascii="Century" w:eastAsia="Times New Roman" w:hAnsi="Century"/>
                <w:i/>
                <w:iCs/>
              </w:rPr>
              <w:t>.</w:t>
            </w:r>
          </w:p>
        </w:tc>
        <w:tc>
          <w:tcPr>
            <w:tcW w:w="360" w:type="dxa"/>
            <w:shd w:val="clear" w:color="auto" w:fill="auto"/>
          </w:tcPr>
          <w:p w:rsidR="00810C78" w:rsidRPr="00810C78" w:rsidRDefault="00810C78" w:rsidP="00810C78">
            <w:pPr>
              <w:rPr>
                <w:rFonts w:ascii="Century" w:hAnsi="Century"/>
                <w:lang w:val="id-ID"/>
              </w:rPr>
            </w:pPr>
          </w:p>
        </w:tc>
        <w:tc>
          <w:tcPr>
            <w:tcW w:w="6334" w:type="dxa"/>
            <w:tcBorders>
              <w:top w:val="double" w:sz="4" w:space="0" w:color="auto"/>
              <w:bottom w:val="single" w:sz="4" w:space="0" w:color="auto"/>
            </w:tcBorders>
            <w:shd w:val="clear" w:color="auto" w:fill="auto"/>
          </w:tcPr>
          <w:p w:rsidR="00810C78" w:rsidRPr="00810C78" w:rsidRDefault="00810C78" w:rsidP="00810C78">
            <w:pPr>
              <w:rPr>
                <w:rFonts w:ascii="Century" w:hAnsi="Century"/>
              </w:rPr>
            </w:pPr>
            <w:r w:rsidRPr="00810C78">
              <w:rPr>
                <w:rFonts w:ascii="Century" w:hAnsi="Century"/>
                <w:b/>
                <w:i/>
              </w:rPr>
              <w:t>Abstract</w:t>
            </w:r>
            <w:r w:rsidRPr="00810C78">
              <w:rPr>
                <w:rFonts w:ascii="Century" w:hAnsi="Century"/>
                <w:b/>
              </w:rPr>
              <w:t xml:space="preserve"> </w:t>
            </w:r>
          </w:p>
        </w:tc>
      </w:tr>
      <w:tr w:rsidR="00810C78" w:rsidRPr="00810C78" w:rsidTr="00810C78">
        <w:trPr>
          <w:trHeight w:val="609"/>
        </w:trPr>
        <w:tc>
          <w:tcPr>
            <w:tcW w:w="2618" w:type="dxa"/>
            <w:vMerge/>
            <w:shd w:val="clear" w:color="auto" w:fill="auto"/>
          </w:tcPr>
          <w:p w:rsidR="00810C78" w:rsidRPr="00810C78" w:rsidRDefault="00810C78" w:rsidP="00810C78">
            <w:pPr>
              <w:rPr>
                <w:rFonts w:ascii="Century" w:hAnsi="Century"/>
              </w:rPr>
            </w:pPr>
          </w:p>
        </w:tc>
        <w:tc>
          <w:tcPr>
            <w:tcW w:w="360" w:type="dxa"/>
            <w:shd w:val="clear" w:color="auto" w:fill="auto"/>
          </w:tcPr>
          <w:p w:rsidR="00810C78" w:rsidRPr="00810C78" w:rsidRDefault="00810C78" w:rsidP="00810C78">
            <w:pPr>
              <w:rPr>
                <w:rFonts w:ascii="Century" w:hAnsi="Century"/>
                <w:lang w:val="id-ID"/>
              </w:rPr>
            </w:pPr>
          </w:p>
        </w:tc>
        <w:tc>
          <w:tcPr>
            <w:tcW w:w="6334" w:type="dxa"/>
            <w:vMerge w:val="restart"/>
            <w:tcBorders>
              <w:top w:val="single" w:sz="4" w:space="0" w:color="auto"/>
              <w:bottom w:val="single" w:sz="4" w:space="0" w:color="auto"/>
            </w:tcBorders>
            <w:shd w:val="clear" w:color="auto" w:fill="auto"/>
          </w:tcPr>
          <w:p w:rsidR="00810C78" w:rsidRPr="00810C78" w:rsidRDefault="00810C78" w:rsidP="00810C78">
            <w:pPr>
              <w:pBdr>
                <w:bottom w:val="single" w:sz="4" w:space="1" w:color="auto"/>
              </w:pBdr>
              <w:shd w:val="clear" w:color="auto" w:fill="FFFFFF"/>
              <w:jc w:val="both"/>
              <w:rPr>
                <w:rFonts w:ascii="Century" w:eastAsia="Times New Roman" w:hAnsi="Century" w:cs="Times New Roman"/>
                <w:lang w:eastAsia="id-ID"/>
              </w:rPr>
            </w:pPr>
            <w:r w:rsidRPr="00810C78">
              <w:rPr>
                <w:rFonts w:ascii="Century" w:eastAsia="Times New Roman" w:hAnsi="Century" w:cs="Times New Roman"/>
                <w:lang w:eastAsia="id-ID"/>
              </w:rPr>
              <w:t>Research on dividend, profitability, and liquidity policies has been conducted on stock prices in publicly traded companies in the automotive industry listed on the Indonesia Stock Exchange (BEI) for the period CT</w:t>
            </w:r>
            <w:r w:rsidR="00927156">
              <w:rPr>
                <w:rFonts w:ascii="Century" w:eastAsia="Times New Roman" w:hAnsi="Century" w:cs="Times New Roman"/>
                <w:lang w:val="id-ID" w:eastAsia="id-ID"/>
              </w:rPr>
              <w:t xml:space="preserve"> </w:t>
            </w:r>
            <w:r w:rsidRPr="00810C78">
              <w:rPr>
                <w:rFonts w:ascii="Century" w:eastAsia="Times New Roman" w:hAnsi="Century" w:cs="Times New Roman"/>
                <w:lang w:eastAsia="id-ID"/>
              </w:rPr>
              <w:t>of 2016 - 2018. This study aims to determine dividend, profitability, and liquidity policies towards stock prices in companies going public in the automotive industry which are listed on the Indonesia Stock Exchange (BEI) for the period of 2016 - 2018. This research uses a Quantitative Approach using secondary data research types. The sampling technique used was purposive sampling. The population in this study was a publicly traded company in the automotive industry which was listed on the Indonesia Stock Exchange (BEI) for the period of 2016 – 2018</w:t>
            </w:r>
            <w:r w:rsidRPr="00810C78">
              <w:rPr>
                <w:rFonts w:ascii="Century" w:eastAsia="Times New Roman" w:hAnsi="Century" w:cs="Times New Roman"/>
                <w:lang w:val="id-ID" w:eastAsia="id-ID"/>
              </w:rPr>
              <w:t xml:space="preserve"> </w:t>
            </w:r>
            <w:r w:rsidRPr="00810C78">
              <w:rPr>
                <w:rStyle w:val="tlid-translation"/>
                <w:rFonts w:ascii="Century" w:eastAsia="Times New Roman" w:hAnsi="Century" w:cs="Times New Roman"/>
              </w:rPr>
              <w:t>as many as 13 companies,</w:t>
            </w:r>
            <w:r w:rsidRPr="00810C78">
              <w:rPr>
                <w:rFonts w:ascii="Century" w:eastAsia="Times New Roman" w:hAnsi="Century" w:cs="Times New Roman"/>
                <w:lang w:eastAsia="id-ID"/>
              </w:rPr>
              <w:t xml:space="preserve"> so that the selected sample was 4 companies that met the criteria. The analysis was carried out by looking at the financial statements of income as of December 31 of 2016-2018 </w:t>
            </w:r>
            <w:r w:rsidRPr="00810C78">
              <w:rPr>
                <w:rFonts w:ascii="Century" w:eastAsia="Times New Roman" w:hAnsi="Century" w:cs="Times New Roman"/>
              </w:rPr>
              <w:t xml:space="preserve">accessed through </w:t>
            </w:r>
            <w:hyperlink r:id="rId10" w:history="1">
              <w:r w:rsidRPr="00810C78">
                <w:rPr>
                  <w:rStyle w:val="Hyperlink"/>
                  <w:rFonts w:ascii="Century" w:eastAsia="Times New Roman" w:hAnsi="Century"/>
                  <w:color w:val="auto"/>
                </w:rPr>
                <w:t>www.idx.co.id</w:t>
              </w:r>
            </w:hyperlink>
            <w:r w:rsidRPr="00810C78">
              <w:rPr>
                <w:rFonts w:ascii="Century" w:eastAsia="Times New Roman" w:hAnsi="Century" w:cs="Times New Roman"/>
                <w:color w:val="777777"/>
                <w:lang w:val="id-ID"/>
              </w:rPr>
              <w:t xml:space="preserve"> </w:t>
            </w:r>
            <w:r w:rsidRPr="00810C78">
              <w:rPr>
                <w:rFonts w:ascii="Century" w:eastAsia="Times New Roman" w:hAnsi="Century" w:cs="Times New Roman"/>
                <w:lang w:eastAsia="id-ID"/>
              </w:rPr>
              <w:t>and calculated using the formula of each per variable, then conducted partial and simultaneous tests using testing the independent variables one by one with a significant value of 0.05. Partial tests have been carried out and the tcount is greater than ttable (X1 = 2,344 &lt;2,306. X2 = 2,359&gt; 2,306. X3 = -3,524 &lt;2,306). So it can be seen that the dividend policy and profitability variables have a partial and significant influence on stock prices while the liquidity variable has a partially and significantly negative effect on stock prices. And simultaneous tests have been carried out, resulting Fcount greater than Ftable (4,793&gt; 3.86). So it can be seen that the dividend policy variables, profitability and liquidity have a simultaneous influence on stock price</w:t>
            </w:r>
          </w:p>
        </w:tc>
      </w:tr>
      <w:tr w:rsidR="00810C78" w:rsidRPr="00810C78" w:rsidTr="00810C78">
        <w:trPr>
          <w:trHeight w:val="504"/>
        </w:trPr>
        <w:tc>
          <w:tcPr>
            <w:tcW w:w="2618" w:type="dxa"/>
            <w:vMerge w:val="restart"/>
            <w:shd w:val="clear" w:color="auto" w:fill="auto"/>
          </w:tcPr>
          <w:p w:rsidR="00810C78" w:rsidRPr="00810C78" w:rsidRDefault="00810C78" w:rsidP="00810C78">
            <w:pPr>
              <w:rPr>
                <w:rFonts w:ascii="Century" w:hAnsi="Century"/>
                <w:b/>
              </w:rPr>
            </w:pPr>
          </w:p>
        </w:tc>
        <w:tc>
          <w:tcPr>
            <w:tcW w:w="360" w:type="dxa"/>
            <w:shd w:val="clear" w:color="auto" w:fill="auto"/>
          </w:tcPr>
          <w:p w:rsidR="00810C78" w:rsidRPr="00810C78" w:rsidRDefault="00810C78" w:rsidP="00810C78">
            <w:pPr>
              <w:rPr>
                <w:rFonts w:ascii="Century" w:hAnsi="Century"/>
                <w:lang w:val="id-ID"/>
              </w:rPr>
            </w:pPr>
          </w:p>
        </w:tc>
        <w:tc>
          <w:tcPr>
            <w:tcW w:w="6334" w:type="dxa"/>
            <w:vMerge/>
            <w:tcBorders>
              <w:bottom w:val="single" w:sz="4" w:space="0" w:color="auto"/>
            </w:tcBorders>
            <w:shd w:val="clear" w:color="auto" w:fill="auto"/>
          </w:tcPr>
          <w:p w:rsidR="00810C78" w:rsidRPr="00810C78" w:rsidRDefault="00810C78" w:rsidP="00810C78">
            <w:pPr>
              <w:jc w:val="both"/>
              <w:rPr>
                <w:rFonts w:ascii="Century" w:hAnsi="Century"/>
                <w:lang w:val="id-ID"/>
              </w:rPr>
            </w:pPr>
          </w:p>
        </w:tc>
      </w:tr>
      <w:tr w:rsidR="00810C78" w:rsidRPr="00810C78" w:rsidTr="00810C78">
        <w:tc>
          <w:tcPr>
            <w:tcW w:w="2618" w:type="dxa"/>
            <w:vMerge/>
            <w:tcBorders>
              <w:bottom w:val="single" w:sz="4" w:space="0" w:color="auto"/>
            </w:tcBorders>
            <w:shd w:val="clear" w:color="auto" w:fill="auto"/>
          </w:tcPr>
          <w:p w:rsidR="00810C78" w:rsidRPr="00810C78" w:rsidRDefault="00810C78" w:rsidP="00810C78">
            <w:pPr>
              <w:rPr>
                <w:rFonts w:ascii="Century" w:hAnsi="Century"/>
                <w:lang w:val="id-ID"/>
              </w:rPr>
            </w:pPr>
          </w:p>
        </w:tc>
        <w:tc>
          <w:tcPr>
            <w:tcW w:w="360" w:type="dxa"/>
            <w:tcBorders>
              <w:bottom w:val="single" w:sz="4" w:space="0" w:color="auto"/>
            </w:tcBorders>
            <w:shd w:val="clear" w:color="auto" w:fill="auto"/>
          </w:tcPr>
          <w:p w:rsidR="00810C78" w:rsidRPr="00810C78" w:rsidRDefault="00810C78" w:rsidP="00810C78">
            <w:pPr>
              <w:rPr>
                <w:rFonts w:ascii="Century" w:hAnsi="Century"/>
                <w:lang w:val="id-ID"/>
              </w:rPr>
            </w:pPr>
          </w:p>
        </w:tc>
        <w:tc>
          <w:tcPr>
            <w:tcW w:w="6334" w:type="dxa"/>
            <w:vMerge/>
            <w:tcBorders>
              <w:bottom w:val="single" w:sz="4" w:space="0" w:color="auto"/>
            </w:tcBorders>
            <w:shd w:val="clear" w:color="auto" w:fill="auto"/>
          </w:tcPr>
          <w:p w:rsidR="00810C78" w:rsidRPr="00810C78" w:rsidRDefault="00810C78" w:rsidP="00810C78">
            <w:pPr>
              <w:rPr>
                <w:rFonts w:ascii="Century" w:hAnsi="Century"/>
                <w:lang w:val="id-ID"/>
              </w:rPr>
            </w:pPr>
          </w:p>
        </w:tc>
      </w:tr>
    </w:tbl>
    <w:p w:rsidR="00810C78" w:rsidRPr="00810C78" w:rsidRDefault="00810C78" w:rsidP="00810C78">
      <w:pPr>
        <w:rPr>
          <w:rFonts w:ascii="Century" w:hAnsi="Century" w:cs="Times New Roman"/>
          <w:b/>
        </w:rPr>
      </w:pPr>
    </w:p>
    <w:tbl>
      <w:tblPr>
        <w:tblW w:w="0" w:type="auto"/>
        <w:tblInd w:w="10" w:type="dxa"/>
        <w:tblLook w:val="04A0"/>
      </w:tblPr>
      <w:tblGrid>
        <w:gridCol w:w="2596"/>
        <w:gridCol w:w="359"/>
        <w:gridCol w:w="6278"/>
      </w:tblGrid>
      <w:tr w:rsidR="00810C78" w:rsidRPr="00F913F2" w:rsidTr="00810C78">
        <w:tc>
          <w:tcPr>
            <w:tcW w:w="2618" w:type="dxa"/>
            <w:tcBorders>
              <w:bottom w:val="double" w:sz="4" w:space="0" w:color="auto"/>
            </w:tcBorders>
            <w:shd w:val="clear" w:color="auto" w:fill="auto"/>
          </w:tcPr>
          <w:p w:rsidR="00810C78" w:rsidRPr="00F913F2" w:rsidRDefault="00810C78" w:rsidP="00810C78">
            <w:pPr>
              <w:rPr>
                <w:rFonts w:ascii="Century" w:hAnsi="Century"/>
                <w:lang w:val="id-ID"/>
              </w:rPr>
            </w:pPr>
          </w:p>
        </w:tc>
        <w:tc>
          <w:tcPr>
            <w:tcW w:w="360" w:type="dxa"/>
            <w:tcBorders>
              <w:bottom w:val="double" w:sz="4" w:space="0" w:color="auto"/>
            </w:tcBorders>
            <w:shd w:val="clear" w:color="auto" w:fill="auto"/>
          </w:tcPr>
          <w:p w:rsidR="00810C78" w:rsidRPr="00F913F2" w:rsidRDefault="00810C78" w:rsidP="00810C78">
            <w:pPr>
              <w:rPr>
                <w:rFonts w:ascii="Century" w:hAnsi="Century"/>
                <w:lang w:val="id-ID"/>
              </w:rPr>
            </w:pPr>
          </w:p>
        </w:tc>
        <w:tc>
          <w:tcPr>
            <w:tcW w:w="6334" w:type="dxa"/>
            <w:tcBorders>
              <w:bottom w:val="double" w:sz="4" w:space="0" w:color="auto"/>
            </w:tcBorders>
            <w:shd w:val="clear" w:color="auto" w:fill="auto"/>
          </w:tcPr>
          <w:p w:rsidR="00810C78" w:rsidRPr="00F913F2" w:rsidRDefault="00810C78" w:rsidP="00810C78">
            <w:pPr>
              <w:rPr>
                <w:rFonts w:ascii="Century" w:hAnsi="Century"/>
                <w:lang w:val="id-ID"/>
              </w:rPr>
            </w:pPr>
          </w:p>
        </w:tc>
      </w:tr>
    </w:tbl>
    <w:p w:rsidR="00810C78" w:rsidRDefault="00810C78" w:rsidP="00810C78">
      <w:pPr>
        <w:rPr>
          <w:rFonts w:ascii="Century" w:hAnsi="Century" w:cs="Times New Roman"/>
          <w:b/>
        </w:rPr>
      </w:pPr>
    </w:p>
    <w:p w:rsidR="008C2AB9" w:rsidRPr="007B1926" w:rsidRDefault="008C2AB9" w:rsidP="00A50A9D">
      <w:pPr>
        <w:pStyle w:val="ListParagraph"/>
        <w:spacing w:after="0" w:line="240" w:lineRule="auto"/>
        <w:ind w:left="851"/>
        <w:jc w:val="both"/>
        <w:rPr>
          <w:rFonts w:ascii="Century" w:hAnsi="Century"/>
          <w:bCs/>
          <w:sz w:val="24"/>
          <w:szCs w:val="24"/>
          <w:lang w:val="id-ID"/>
        </w:rPr>
      </w:pPr>
    </w:p>
    <w:p w:rsidR="004A6D5B" w:rsidRPr="007B1926" w:rsidRDefault="004A6D5B" w:rsidP="004A6D5B">
      <w:pPr>
        <w:pStyle w:val="ListParagraph"/>
        <w:spacing w:after="0" w:line="240" w:lineRule="auto"/>
        <w:ind w:left="540"/>
        <w:jc w:val="both"/>
        <w:rPr>
          <w:rFonts w:ascii="Century" w:hAnsi="Century"/>
          <w:sz w:val="24"/>
          <w:szCs w:val="24"/>
          <w:lang w:val="id-ID"/>
        </w:rPr>
      </w:pPr>
    </w:p>
    <w:p w:rsidR="0063697F" w:rsidRPr="007B1926" w:rsidRDefault="0063697F" w:rsidP="0063697F">
      <w:pPr>
        <w:pStyle w:val="Default"/>
        <w:tabs>
          <w:tab w:val="left" w:pos="6750"/>
        </w:tabs>
        <w:spacing w:after="240"/>
        <w:jc w:val="both"/>
        <w:rPr>
          <w:rFonts w:ascii="Century" w:hAnsi="Century" w:cs="Times New Roman"/>
          <w:lang w:val="id-ID"/>
        </w:rPr>
        <w:sectPr w:rsidR="0063697F" w:rsidRPr="007B1926" w:rsidSect="00810C78">
          <w:headerReference w:type="default" r:id="rId11"/>
          <w:footerReference w:type="default" r:id="rId12"/>
          <w:headerReference w:type="first" r:id="rId13"/>
          <w:type w:val="continuous"/>
          <w:pgSz w:w="11907" w:h="16840" w:code="9"/>
          <w:pgMar w:top="1440" w:right="1440" w:bottom="1440" w:left="1440" w:header="720" w:footer="720" w:gutter="0"/>
          <w:cols w:space="720"/>
          <w:docGrid w:linePitch="360"/>
        </w:sectPr>
      </w:pPr>
    </w:p>
    <w:p w:rsidR="0063697F" w:rsidRPr="007B1926" w:rsidRDefault="0063697F" w:rsidP="0063697F">
      <w:pPr>
        <w:pStyle w:val="ListParagraph"/>
        <w:spacing w:after="0" w:line="240" w:lineRule="auto"/>
        <w:ind w:left="0"/>
        <w:jc w:val="both"/>
        <w:rPr>
          <w:rFonts w:ascii="Century" w:hAnsi="Century"/>
          <w:sz w:val="24"/>
          <w:szCs w:val="24"/>
          <w:lang w:val="id-ID"/>
        </w:rPr>
      </w:pPr>
    </w:p>
    <w:p w:rsidR="0063697F" w:rsidRPr="007B1926" w:rsidRDefault="0063697F" w:rsidP="0063697F">
      <w:pPr>
        <w:pStyle w:val="ListParagraph"/>
        <w:spacing w:after="0" w:line="240" w:lineRule="auto"/>
        <w:ind w:left="0"/>
        <w:jc w:val="both"/>
        <w:rPr>
          <w:rFonts w:ascii="Century" w:hAnsi="Century"/>
          <w:b/>
          <w:sz w:val="24"/>
          <w:szCs w:val="24"/>
        </w:rPr>
      </w:pPr>
      <w:r w:rsidRPr="007B1926">
        <w:rPr>
          <w:rFonts w:ascii="Century" w:hAnsi="Century"/>
          <w:b/>
          <w:sz w:val="24"/>
          <w:szCs w:val="24"/>
        </w:rPr>
        <w:t>DAFTAR PUSTAKA</w:t>
      </w:r>
    </w:p>
    <w:p w:rsidR="00A50A9D" w:rsidRDefault="00A50A9D" w:rsidP="00DB54BC">
      <w:pPr>
        <w:spacing w:after="240"/>
        <w:ind w:left="993" w:hanging="993"/>
        <w:jc w:val="both"/>
        <w:rPr>
          <w:rFonts w:ascii="Century" w:hAnsi="Century" w:cs="Times New Roman"/>
          <w:sz w:val="24"/>
          <w:szCs w:val="24"/>
        </w:rPr>
      </w:pP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Amanah, Raghilia., Atmanto D,. Azizah, Farah, Devi. 2014. Pengaruh Rasio Likuiditas dan Rasio Profitabilitas terhadap Harga Saham (Studi pada Perusahaan Indeks LQ45 periode 2008-2012): Jurnal Administrasi Bisnis, Vol. 12. No. 1.Hal 02. Malang.</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Arifin, Nita Fitriani. 2016. Pengaruh Likuidotas, Solvabilitas, Profitabilitas, Rasio Pasar, dan Ukuran Perusahaan Terhadap Harga Saham:(Studi </w:t>
      </w:r>
      <w:r w:rsidRPr="007B1926">
        <w:rPr>
          <w:rFonts w:ascii="Century" w:hAnsi="Century" w:cs="Times New Roman"/>
          <w:sz w:val="24"/>
          <w:szCs w:val="24"/>
        </w:rPr>
        <w:lastRenderedPageBreak/>
        <w:t xml:space="preserve">Subsektor Perekebunan Yang Terdaftar Di Bursa Efek Indonesia Tahun 2010-2014): Jurnal Riset Akuntansi dan Keuangan, Vol.4. No.3. </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Bilal, Z. O., &amp; Jamil, S. A. (2015). Does Dividend Policy Impact Stock Market Prices?-Evidence From Oman. International Journal of Applied Business and Economic Research, 13(9), 6873-6883.</w:t>
      </w:r>
    </w:p>
    <w:p w:rsidR="0028259A" w:rsidRPr="007B1926" w:rsidRDefault="0028259A" w:rsidP="00DB54BC">
      <w:pPr>
        <w:spacing w:after="240"/>
        <w:ind w:left="993" w:hanging="993"/>
        <w:jc w:val="both"/>
        <w:rPr>
          <w:rFonts w:ascii="Century" w:hAnsi="Century" w:cs="Times New Roman"/>
          <w:i/>
          <w:iCs/>
          <w:sz w:val="24"/>
          <w:szCs w:val="24"/>
        </w:rPr>
      </w:pPr>
      <w:r w:rsidRPr="007B1926">
        <w:rPr>
          <w:rFonts w:ascii="Century" w:hAnsi="Century" w:cs="Times New Roman"/>
          <w:sz w:val="24"/>
          <w:szCs w:val="24"/>
        </w:rPr>
        <w:t>Clarensia, J., Rahayu, S., &amp; Azizah, N. (2013) “Pengaruh likuiditas, profitabilitas, pertumbuhan penjualan, dan kebijakan dividen terhadap harga saham”.</w:t>
      </w:r>
      <w:r w:rsidRPr="007B1926">
        <w:rPr>
          <w:rFonts w:ascii="Century" w:hAnsi="Century" w:cs="Times New Roman"/>
          <w:sz w:val="24"/>
          <w:szCs w:val="24"/>
        </w:rPr>
        <w:br/>
      </w:r>
      <w:hyperlink r:id="rId14" w:history="1">
        <w:r w:rsidRPr="007B1926">
          <w:rPr>
            <w:rStyle w:val="Hyperlink"/>
            <w:rFonts w:ascii="Century" w:hAnsi="Century"/>
            <w:i/>
            <w:iCs/>
            <w:color w:val="auto"/>
            <w:sz w:val="24"/>
            <w:szCs w:val="24"/>
          </w:rPr>
          <w:t>http://fe.budiluhur.ac.id/wp-content/uploads/2013/10/5e-JURNAL-5-SRI.pdf</w:t>
        </w:r>
      </w:hyperlink>
      <w:r w:rsidRPr="007B1926">
        <w:rPr>
          <w:rStyle w:val="Hyperlink"/>
          <w:rFonts w:ascii="Century" w:hAnsi="Century"/>
          <w:i/>
          <w:iCs/>
          <w:color w:val="auto"/>
          <w:sz w:val="24"/>
          <w:szCs w:val="24"/>
        </w:rPr>
        <w:t>.</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Deitiana, T. (2011). Pengaruh rasio keuangan, pertumbuhan penjualan dan dividen terhadap harga saham. Jurnal Bisnis dan Akuntansi, 13(1), 57-66.</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Ermiati, Cut </w:t>
      </w:r>
      <w:r w:rsidRPr="007B1926">
        <w:rPr>
          <w:rFonts w:ascii="Century" w:hAnsi="Century" w:cs="Times New Roman"/>
          <w:i/>
          <w:sz w:val="24"/>
          <w:szCs w:val="24"/>
        </w:rPr>
        <w:t xml:space="preserve">et.al. </w:t>
      </w:r>
      <w:r w:rsidRPr="007B1926">
        <w:rPr>
          <w:rFonts w:ascii="Century" w:hAnsi="Century" w:cs="Times New Roman"/>
          <w:sz w:val="24"/>
          <w:szCs w:val="24"/>
        </w:rPr>
        <w:t xml:space="preserve">2019. Pengaruh Kebijakan Dividen Terhadap Harga Saham Perusahaan: Sub Sektor Otomotif Pada Komponen Yang Terdaftar Di Bursa Efek Indonesia Periode 2008 – 2017. Vol. 8, No. 2. </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Hutami, R. P. (2012) “Pengaruh dividend per share, return on equity dan net profit margin terhadap harga saham perusahaan industri manufaktur yang tercatat di Bursa Efek Indonesia periode 2006-2010”. </w:t>
      </w:r>
      <w:r w:rsidRPr="007B1926">
        <w:rPr>
          <w:rFonts w:ascii="Century" w:hAnsi="Century" w:cs="Times New Roman"/>
          <w:i/>
          <w:iCs/>
          <w:sz w:val="24"/>
          <w:szCs w:val="24"/>
        </w:rPr>
        <w:t xml:space="preserve">Jurnal Nominal. </w:t>
      </w:r>
      <w:r w:rsidRPr="007B1926">
        <w:rPr>
          <w:rFonts w:ascii="Century" w:hAnsi="Century" w:cs="Times New Roman"/>
          <w:sz w:val="24"/>
          <w:szCs w:val="24"/>
        </w:rPr>
        <w:t>Vol. 1, (1).</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Idamanti, Nunuk (2018). Pengaruh Likuiditas, Profitabilitas dan Penjualan Terhadap Harga Saham : Perusahaan Makanan Dan Minuman Yang Tercatat Di Bursa Efek Indonesia Tahun 2010 - 2014. </w:t>
      </w:r>
      <w:r w:rsidRPr="007B1926">
        <w:rPr>
          <w:rFonts w:ascii="Century" w:hAnsi="Century" w:cs="Times New Roman"/>
          <w:i/>
          <w:sz w:val="24"/>
          <w:szCs w:val="24"/>
        </w:rPr>
        <w:t xml:space="preserve">Departement of Management FEB UMM. </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Manullang, Januardin.2019. Pengaruh Rasio Profitabilitas, Solvabilitas, dan Likuiditas terhadao Harga Saham: Pada Perusahaan Sektor Pertambangan yang Terdaftar di BEI Periode 2014-2018. Jurnal Riset &amp; Akuntansi. Vol. 3, No.2. </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Manurung, Patar Yandri. 2019. Pengaruh Profitabilitas (ROA), Leverage (DER), Dan Kebijakan Dividen (DPR) Terhadap Harga Saham: Pada Sektor </w:t>
      </w:r>
      <w:r w:rsidRPr="007B1926">
        <w:rPr>
          <w:rFonts w:ascii="Century" w:hAnsi="Century" w:cs="Times New Roman"/>
          <w:i/>
          <w:sz w:val="24"/>
          <w:szCs w:val="24"/>
        </w:rPr>
        <w:t>Consumer Goods Industry</w:t>
      </w:r>
      <w:r w:rsidRPr="007B1926">
        <w:rPr>
          <w:rFonts w:ascii="Century" w:hAnsi="Century" w:cs="Times New Roman"/>
          <w:sz w:val="24"/>
          <w:szCs w:val="24"/>
        </w:rPr>
        <w:t xml:space="preserve"> Di Bursa Efek Indonesia; </w:t>
      </w:r>
      <w:r w:rsidRPr="007B1926">
        <w:rPr>
          <w:rFonts w:ascii="Century" w:hAnsi="Century" w:cs="Times New Roman"/>
          <w:i/>
          <w:sz w:val="24"/>
          <w:szCs w:val="24"/>
        </w:rPr>
        <w:t>Jurnal Global Manajemen</w:t>
      </w:r>
      <w:r w:rsidRPr="007B1926">
        <w:rPr>
          <w:rFonts w:ascii="Century" w:hAnsi="Century" w:cs="Times New Roman"/>
          <w:sz w:val="24"/>
          <w:szCs w:val="24"/>
        </w:rPr>
        <w:t xml:space="preserve">. Vol. 8, No. 1. </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Mardiyati, U., Ahmad, G. N., &amp; Putri, R. (2012). Pengaruh kebijakan dividen, kebijakan hutang dan profitabilitas terhadap nilai perusahaan manufaktur yang terdaftar di Bursa Efek Indonesia (BEI) periode 2005-2010. JRMSI-Jurnal Riset Manajemen Sains Indonesia, 3(1), 1-17.</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Muharti, &amp; Anita, R. (2017). Pengaruh Keputusan Investasi, Pendanaan, Kebijakan Deviden terhadap Nilai Perusahaan (Studi Pada Perusahaan </w:t>
      </w:r>
      <w:r w:rsidRPr="007B1926">
        <w:rPr>
          <w:rFonts w:ascii="Century" w:hAnsi="Century" w:cs="Times New Roman"/>
          <w:sz w:val="24"/>
          <w:szCs w:val="24"/>
        </w:rPr>
        <w:lastRenderedPageBreak/>
        <w:t>Sektor Property dan Real Estate Di Bursa Efek Indonesia periode 2011-2014). Jurnal Ilmiah Ekonomi dan Bisnis, 14(2), 142-155.</w:t>
      </w:r>
    </w:p>
    <w:p w:rsidR="0028259A" w:rsidRPr="007B1926" w:rsidRDefault="0028259A" w:rsidP="00DB54BC">
      <w:pPr>
        <w:spacing w:after="240"/>
        <w:ind w:left="993" w:hanging="993"/>
        <w:jc w:val="both"/>
        <w:rPr>
          <w:rFonts w:ascii="Century" w:hAnsi="Century" w:cs="Times New Roman"/>
          <w:sz w:val="24"/>
          <w:szCs w:val="24"/>
        </w:rPr>
      </w:pPr>
      <w:r w:rsidRPr="007B1926">
        <w:rPr>
          <w:rFonts w:ascii="Century" w:hAnsi="Century" w:cs="Times New Roman"/>
          <w:sz w:val="24"/>
          <w:szCs w:val="24"/>
        </w:rPr>
        <w:t>Nababan, L. U. (2019). Penerapan model regresi data panel pada analisis harga saham perusahaan batubara. AKUNTABEL, 16(1), 81-97.</w:t>
      </w:r>
    </w:p>
    <w:p w:rsidR="0028259A" w:rsidRPr="007B1926" w:rsidRDefault="0028259A" w:rsidP="0028259A">
      <w:pPr>
        <w:spacing w:after="240"/>
        <w:ind w:left="993" w:hanging="993"/>
        <w:jc w:val="both"/>
        <w:rPr>
          <w:rFonts w:ascii="Century" w:hAnsi="Century" w:cs="Times New Roman"/>
          <w:sz w:val="24"/>
          <w:szCs w:val="24"/>
        </w:rPr>
      </w:pPr>
      <w:r w:rsidRPr="007B1926">
        <w:rPr>
          <w:rFonts w:ascii="Century" w:hAnsi="Century" w:cs="Times New Roman"/>
          <w:sz w:val="24"/>
          <w:szCs w:val="24"/>
        </w:rPr>
        <w:t>Ratnasari, Aisyah. 2018. Pengaruh Profitabilitas Dan Dividen Terhadap Harga Saham: Studi Kasus Pada Perusahaan Manufaktur Sub Sektor Otomotif Periode 2011-2016;</w:t>
      </w:r>
      <w:r w:rsidRPr="007B1926">
        <w:rPr>
          <w:rFonts w:ascii="Century" w:hAnsi="Century" w:cs="Times New Roman"/>
          <w:i/>
          <w:sz w:val="24"/>
          <w:szCs w:val="24"/>
        </w:rPr>
        <w:t xml:space="preserve">Jurnal Riset Akuntansi Terpadu. </w:t>
      </w:r>
      <w:r w:rsidRPr="007B1926">
        <w:rPr>
          <w:rFonts w:ascii="Century" w:hAnsi="Century" w:cs="Times New Roman"/>
          <w:sz w:val="24"/>
          <w:szCs w:val="24"/>
        </w:rPr>
        <w:t xml:space="preserve">Vol.11, No; 103-112. </w:t>
      </w:r>
    </w:p>
    <w:p w:rsidR="0028259A" w:rsidRPr="007B1926" w:rsidRDefault="0028259A" w:rsidP="0028259A">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Sha, Thio Lie. 2015. Pengaruh Kebijakan Dividen, Likuiditas, </w:t>
      </w:r>
      <w:r w:rsidRPr="007B1926">
        <w:rPr>
          <w:rFonts w:ascii="Century" w:hAnsi="Century" w:cs="Times New Roman"/>
          <w:i/>
          <w:sz w:val="24"/>
          <w:szCs w:val="24"/>
        </w:rPr>
        <w:t xml:space="preserve">Net Profit Margin, Return On Equtiy, </w:t>
      </w:r>
      <w:r w:rsidRPr="007B1926">
        <w:rPr>
          <w:rFonts w:ascii="Century" w:hAnsi="Century" w:cs="Times New Roman"/>
          <w:sz w:val="24"/>
          <w:szCs w:val="24"/>
        </w:rPr>
        <w:t xml:space="preserve">Dan </w:t>
      </w:r>
      <w:r w:rsidRPr="007B1926">
        <w:rPr>
          <w:rFonts w:ascii="Century" w:hAnsi="Century" w:cs="Times New Roman"/>
          <w:i/>
          <w:sz w:val="24"/>
          <w:szCs w:val="24"/>
        </w:rPr>
        <w:t xml:space="preserve">Price To Book Value </w:t>
      </w:r>
      <w:r w:rsidRPr="007B1926">
        <w:rPr>
          <w:rFonts w:ascii="Century" w:hAnsi="Century" w:cs="Times New Roman"/>
          <w:sz w:val="24"/>
          <w:szCs w:val="24"/>
        </w:rPr>
        <w:t xml:space="preserve">Terhadap Harga Saham: Perusahaan Manufaktur Yang Terdaftar Di Bursa Efek Indonesia 2. 2010 – 2013. </w:t>
      </w:r>
      <w:r w:rsidRPr="007B1926">
        <w:rPr>
          <w:rFonts w:ascii="Century" w:hAnsi="Century" w:cs="Times New Roman"/>
          <w:i/>
          <w:sz w:val="24"/>
          <w:szCs w:val="24"/>
        </w:rPr>
        <w:t xml:space="preserve">Jurnal Akuntansi. </w:t>
      </w:r>
      <w:r w:rsidRPr="007B1926">
        <w:rPr>
          <w:rFonts w:ascii="Century" w:hAnsi="Century" w:cs="Times New Roman"/>
          <w:sz w:val="24"/>
          <w:szCs w:val="24"/>
        </w:rPr>
        <w:t xml:space="preserve">Vol. XIX, No. 02; 276-294. </w:t>
      </w:r>
    </w:p>
    <w:p w:rsidR="0028259A" w:rsidRPr="007B1926" w:rsidRDefault="0028259A" w:rsidP="0028259A">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Suwandini, Anita. 2017. Pengaruh Profitabilitas Terhadap Harga Saham: Perusahaan Manufaktur Sektor Makanan Dan Minuman Di BEI Tahun 2014 – 2015; </w:t>
      </w:r>
      <w:r w:rsidRPr="007B1926">
        <w:rPr>
          <w:rFonts w:ascii="Century" w:hAnsi="Century" w:cs="Times New Roman"/>
          <w:i/>
          <w:sz w:val="24"/>
          <w:szCs w:val="24"/>
        </w:rPr>
        <w:t>Jurnal Akuntnasi Dan Pajak</w:t>
      </w:r>
      <w:r w:rsidRPr="007B1926">
        <w:rPr>
          <w:rFonts w:ascii="Century" w:hAnsi="Century" w:cs="Times New Roman"/>
          <w:sz w:val="24"/>
          <w:szCs w:val="24"/>
        </w:rPr>
        <w:t xml:space="preserve">. Vol. 18, No.1. </w:t>
      </w:r>
    </w:p>
    <w:p w:rsidR="0028259A" w:rsidRPr="007B1926" w:rsidRDefault="0028259A" w:rsidP="0028259A">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Tjahjono, Mazda Eko Sri. 2017. Pengaruh Profitabilitas Terhadap Harga Saham : Studi Kasus Pada Perusahaan Makanan Dan Minuman Yang Terdaftar Di Bursa Efek Indonesia Periode 2013 – 2015; </w:t>
      </w:r>
      <w:r w:rsidRPr="007B1926">
        <w:rPr>
          <w:rFonts w:ascii="Century" w:hAnsi="Century" w:cs="Times New Roman"/>
          <w:i/>
          <w:sz w:val="24"/>
          <w:szCs w:val="24"/>
        </w:rPr>
        <w:t xml:space="preserve">Jurnal Riset Akuntansi Terpadu. </w:t>
      </w:r>
      <w:r w:rsidRPr="007B1926">
        <w:rPr>
          <w:rFonts w:ascii="Century" w:hAnsi="Century" w:cs="Times New Roman"/>
          <w:sz w:val="24"/>
          <w:szCs w:val="24"/>
        </w:rPr>
        <w:t xml:space="preserve">Vol. 10, No.2. </w:t>
      </w:r>
    </w:p>
    <w:p w:rsidR="0028259A" w:rsidRPr="007B1926" w:rsidRDefault="0028259A" w:rsidP="0028259A">
      <w:pPr>
        <w:spacing w:after="240"/>
        <w:ind w:left="993" w:hanging="993"/>
        <w:jc w:val="both"/>
        <w:rPr>
          <w:rFonts w:ascii="Century" w:hAnsi="Century" w:cs="Times New Roman"/>
          <w:i/>
          <w:sz w:val="24"/>
          <w:szCs w:val="24"/>
        </w:rPr>
      </w:pPr>
      <w:r w:rsidRPr="007B1926">
        <w:rPr>
          <w:rFonts w:ascii="Century" w:hAnsi="Century" w:cs="Times New Roman"/>
          <w:sz w:val="24"/>
          <w:szCs w:val="24"/>
        </w:rPr>
        <w:t xml:space="preserve">Wijayanti, Anita. 2019. Pengaruh Likuiditas, Profitabilitas, Solvabilitas, Dan Ukuran Perusahaan Terhadap Harga Saham: Perusahaan Industri Barang Konsumsi Di Bursa Efek Indonesia; </w:t>
      </w:r>
      <w:r w:rsidRPr="007B1926">
        <w:rPr>
          <w:rFonts w:ascii="Century" w:hAnsi="Century" w:cs="Times New Roman"/>
          <w:i/>
          <w:sz w:val="24"/>
          <w:szCs w:val="24"/>
        </w:rPr>
        <w:t xml:space="preserve">Jurnal Seminar IENACO. </w:t>
      </w:r>
    </w:p>
    <w:p w:rsidR="00DB54BC" w:rsidRPr="007B1926" w:rsidRDefault="0028259A" w:rsidP="0063697F">
      <w:pPr>
        <w:pStyle w:val="ListParagraph"/>
        <w:spacing w:after="0" w:line="240" w:lineRule="auto"/>
        <w:ind w:left="0"/>
        <w:jc w:val="both"/>
        <w:rPr>
          <w:rFonts w:ascii="Century" w:hAnsi="Century"/>
          <w:sz w:val="24"/>
          <w:szCs w:val="24"/>
          <w:lang w:val="id-ID"/>
        </w:rPr>
      </w:pPr>
      <w:r w:rsidRPr="007B1926">
        <w:rPr>
          <w:rFonts w:ascii="Century" w:hAnsi="Century"/>
          <w:sz w:val="24"/>
          <w:szCs w:val="24"/>
          <w:lang w:val="id-ID"/>
        </w:rPr>
        <w:t xml:space="preserve">Buku : </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Abi, Fransiskus Paulus Paskalis. 2016. Semakin Dekat dengan Pasar Modal Indonesia. Yogyakarta: CV Budi Utama.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Astuti, Dra. Dewi, MM. 2014. </w:t>
      </w:r>
      <w:r w:rsidRPr="007B1926">
        <w:rPr>
          <w:rFonts w:ascii="Century" w:hAnsi="Century" w:cs="Times New Roman"/>
          <w:i/>
          <w:iCs/>
          <w:sz w:val="24"/>
          <w:szCs w:val="24"/>
        </w:rPr>
        <w:t xml:space="preserve">Manajemen Keuangan Perusahaan. </w:t>
      </w:r>
      <w:r w:rsidRPr="007B1926">
        <w:rPr>
          <w:rFonts w:ascii="Century" w:hAnsi="Century" w:cs="Times New Roman"/>
          <w:sz w:val="24"/>
          <w:szCs w:val="24"/>
        </w:rPr>
        <w:t>Jakarta : Ghalia Indonesia.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Bodie, Kane, Alex &amp; Marcus. 2003. </w:t>
      </w:r>
      <w:r w:rsidRPr="007B1926">
        <w:rPr>
          <w:rFonts w:ascii="Century" w:hAnsi="Century" w:cs="Times New Roman"/>
          <w:i/>
          <w:iCs/>
          <w:sz w:val="24"/>
          <w:szCs w:val="24"/>
        </w:rPr>
        <w:t xml:space="preserve">Essentials of Investments. </w:t>
      </w:r>
      <w:r w:rsidRPr="007B1926">
        <w:rPr>
          <w:rFonts w:ascii="Century" w:hAnsi="Century" w:cs="Times New Roman"/>
          <w:sz w:val="24"/>
          <w:szCs w:val="24"/>
        </w:rPr>
        <w:t>Fifth Edition. New York: Mc Graw Hill Companies.</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Brigham dan Houston. 2010. </w:t>
      </w:r>
      <w:r w:rsidRPr="007B1926">
        <w:rPr>
          <w:rFonts w:ascii="Century" w:hAnsi="Century" w:cs="Times New Roman"/>
          <w:i/>
          <w:iCs/>
          <w:sz w:val="24"/>
          <w:szCs w:val="24"/>
        </w:rPr>
        <w:t>Dasar-Dasar Manajemen Keuangan Buku 1 (Edisi II)</w:t>
      </w:r>
      <w:r w:rsidRPr="007B1926">
        <w:rPr>
          <w:rFonts w:ascii="Century" w:hAnsi="Century" w:cs="Times New Roman"/>
          <w:sz w:val="24"/>
          <w:szCs w:val="24"/>
        </w:rPr>
        <w:t>. Jakarta:Salemba Empat.</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Darmadji, T dan Fakhruddin, H. M. 2006. </w:t>
      </w:r>
      <w:r w:rsidRPr="007B1926">
        <w:rPr>
          <w:rFonts w:ascii="Century" w:hAnsi="Century" w:cs="Times New Roman"/>
          <w:i/>
          <w:iCs/>
          <w:sz w:val="24"/>
          <w:szCs w:val="24"/>
        </w:rPr>
        <w:t>Pasar Modal Di Indonesia : Pendekatan Tanya Jawab</w:t>
      </w:r>
      <w:r w:rsidRPr="007B1926">
        <w:rPr>
          <w:rFonts w:ascii="Century" w:hAnsi="Century" w:cs="Times New Roman"/>
          <w:sz w:val="24"/>
          <w:szCs w:val="24"/>
        </w:rPr>
        <w:t>. Jakarta : Salemba Empat.</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Darmadji,Tjipto,2001. Pasar Modal di Indonesia; Salemba Emapat, Jakarta</w:t>
      </w:r>
      <w:r w:rsidRPr="007B1926">
        <w:rPr>
          <w:rFonts w:ascii="Century" w:hAnsi="Century" w:cs="Times New Roman"/>
          <w:i/>
          <w:iCs/>
          <w:sz w:val="24"/>
          <w:szCs w:val="24"/>
        </w:rPr>
        <w:t>.</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lastRenderedPageBreak/>
        <w:t xml:space="preserve">Dendawijaya, Lukman. 2000. </w:t>
      </w:r>
      <w:r w:rsidRPr="007B1926">
        <w:rPr>
          <w:rFonts w:ascii="Century" w:hAnsi="Century" w:cs="Times New Roman"/>
          <w:i/>
          <w:iCs/>
          <w:sz w:val="24"/>
          <w:szCs w:val="24"/>
        </w:rPr>
        <w:t>Manajemen</w:t>
      </w:r>
      <w:r w:rsidRPr="007B1926">
        <w:rPr>
          <w:rFonts w:ascii="Century" w:hAnsi="Century" w:cs="Times New Roman"/>
          <w:sz w:val="24"/>
          <w:szCs w:val="24"/>
        </w:rPr>
        <w:t xml:space="preserve"> </w:t>
      </w:r>
      <w:r w:rsidRPr="007B1926">
        <w:rPr>
          <w:rFonts w:ascii="Century" w:hAnsi="Century" w:cs="Times New Roman"/>
          <w:i/>
          <w:iCs/>
          <w:sz w:val="24"/>
          <w:szCs w:val="24"/>
        </w:rPr>
        <w:t xml:space="preserve">Lembaga Keuangan. </w:t>
      </w:r>
      <w:r w:rsidRPr="007B1926">
        <w:rPr>
          <w:rFonts w:ascii="Century" w:hAnsi="Century" w:cs="Times New Roman"/>
          <w:sz w:val="24"/>
          <w:szCs w:val="24"/>
        </w:rPr>
        <w:t>Jakarta : Ghali Indonesia.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Fahmi, I. (2011). </w:t>
      </w:r>
      <w:r w:rsidRPr="007B1926">
        <w:rPr>
          <w:rFonts w:ascii="Century" w:hAnsi="Century" w:cs="Times New Roman"/>
          <w:i/>
          <w:iCs/>
          <w:sz w:val="24"/>
          <w:szCs w:val="24"/>
        </w:rPr>
        <w:t>Manajemen Resiko: Teori, Kasus, dan Solusi</w:t>
      </w:r>
      <w:r w:rsidRPr="007B1926">
        <w:rPr>
          <w:rFonts w:ascii="Century" w:hAnsi="Century" w:cs="Times New Roman"/>
          <w:sz w:val="24"/>
          <w:szCs w:val="24"/>
        </w:rPr>
        <w:t>. Bandung: Alfabeta.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Fahmi, I. (2014a). </w:t>
      </w:r>
      <w:r w:rsidRPr="007B1926">
        <w:rPr>
          <w:rFonts w:ascii="Century" w:hAnsi="Century" w:cs="Times New Roman"/>
          <w:i/>
          <w:iCs/>
          <w:sz w:val="24"/>
          <w:szCs w:val="24"/>
        </w:rPr>
        <w:t>Analisis Kinerja Keuangan: Panduan bagi Akademisi, Manajer dan</w:t>
      </w:r>
      <w:r w:rsidRPr="007B1926">
        <w:rPr>
          <w:rFonts w:ascii="Century" w:hAnsi="Century" w:cs="Times New Roman"/>
          <w:sz w:val="24"/>
          <w:szCs w:val="24"/>
        </w:rPr>
        <w:t xml:space="preserve"> </w:t>
      </w:r>
      <w:r w:rsidRPr="007B1926">
        <w:rPr>
          <w:rFonts w:ascii="Century" w:hAnsi="Century" w:cs="Times New Roman"/>
          <w:i/>
          <w:iCs/>
          <w:sz w:val="24"/>
          <w:szCs w:val="24"/>
        </w:rPr>
        <w:t>Investor untuk Menilai dan Menganalisis Bisnis</w:t>
      </w:r>
      <w:r w:rsidRPr="007B1926">
        <w:rPr>
          <w:rFonts w:ascii="Century" w:hAnsi="Century" w:cs="Times New Roman"/>
          <w:sz w:val="24"/>
          <w:szCs w:val="24"/>
        </w:rPr>
        <w:t>. Bandung: Alfabeta.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Fajaria, A. Z. (2015). Pengaruh Keputusan Investasi, Keputusan Pendanaan dan Kebijakan Dividen terhadap Nilai Perusahaan. STIE PERBANAS SURABAYA.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Fajaria, A. Z. (2015). Pengaruh Keputusan Investasi, Keputusan Pendanaan dan Kebijakan Dividen terhadap Nilai Perusahaan. STIE PERBANAS SURABAYA.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Fenandar, G. I., &amp; Raharja, S. (2012). Pengaruh keputusan investasi, keputusan pendanaan, dan kebijakan dividen terhadap nilai perusahaan. Fakultas Ekonomika dan Bisnis.</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Fenandar, G. I., &amp; Raharja, S. (2012). Pengaruh keputusan investasi, keputusan pendanaan, dan kebijakan dividen terhadap nilai perusahaan. Fakultas Ekonomika dan Bisnis.</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Gumanti, T. A. (2013). </w:t>
      </w:r>
      <w:r w:rsidRPr="007B1926">
        <w:rPr>
          <w:rFonts w:ascii="Century" w:hAnsi="Century" w:cs="Times New Roman"/>
          <w:i/>
          <w:iCs/>
          <w:sz w:val="24"/>
          <w:szCs w:val="24"/>
        </w:rPr>
        <w:t>Kebijakan Dividen : Teori, Empiris, dan Implikasi</w:t>
      </w:r>
      <w:r w:rsidRPr="007B1926">
        <w:rPr>
          <w:rFonts w:ascii="Century" w:hAnsi="Century" w:cs="Times New Roman"/>
          <w:sz w:val="24"/>
          <w:szCs w:val="24"/>
        </w:rPr>
        <w:t>.</w:t>
      </w:r>
      <w:r w:rsidRPr="007B1926">
        <w:rPr>
          <w:rFonts w:ascii="Century" w:hAnsi="Century" w:cs="Times New Roman"/>
          <w:sz w:val="24"/>
          <w:szCs w:val="24"/>
        </w:rPr>
        <w:br/>
        <w:t>Yogyakarta : UPP STIM YKPN.</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Hadi, Nor. 2013. Pasar Modal. Yogyakarta: Graha Ilmu.</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Hanafi, M. M., &amp; Halim, A. (2012). </w:t>
      </w:r>
      <w:r w:rsidRPr="007B1926">
        <w:rPr>
          <w:rFonts w:ascii="Century" w:hAnsi="Century" w:cs="Times New Roman"/>
          <w:i/>
          <w:iCs/>
          <w:sz w:val="24"/>
          <w:szCs w:val="24"/>
        </w:rPr>
        <w:t xml:space="preserve">Analisis Laporan Keuangan </w:t>
      </w:r>
      <w:r w:rsidRPr="007B1926">
        <w:rPr>
          <w:rFonts w:ascii="Century" w:hAnsi="Century" w:cs="Times New Roman"/>
          <w:sz w:val="24"/>
          <w:szCs w:val="24"/>
        </w:rPr>
        <w:t>(Keempat). Yogyakarta: UPP STIM YKPN.</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Hariyani, Iswi Serfianto. 2010. Buku Pintar Hukum Bisnis Pasar Modal. Jakarta: Trans Media.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Hayati, sri, S.E., M.Si. 2017. </w:t>
      </w:r>
      <w:r w:rsidRPr="007B1926">
        <w:rPr>
          <w:rFonts w:ascii="Century" w:hAnsi="Century" w:cs="Times New Roman"/>
          <w:i/>
          <w:sz w:val="24"/>
          <w:szCs w:val="24"/>
        </w:rPr>
        <w:t>Manajemen Aset &amp; Liabilitas (ALMA)</w:t>
      </w:r>
      <w:r w:rsidRPr="007B1926">
        <w:rPr>
          <w:rFonts w:ascii="Century" w:hAnsi="Century" w:cs="Times New Roman"/>
          <w:sz w:val="24"/>
          <w:szCs w:val="24"/>
        </w:rPr>
        <w:t xml:space="preserve">. Yogyakarta: Andi (Anggota IKAPI). </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Hery, S.E., M.Si., CRP., RSA. 2016.</w:t>
      </w:r>
      <w:r w:rsidRPr="007B1926">
        <w:rPr>
          <w:rFonts w:ascii="Century" w:hAnsi="Century" w:cs="Times New Roman"/>
          <w:i/>
          <w:sz w:val="24"/>
          <w:szCs w:val="24"/>
        </w:rPr>
        <w:t xml:space="preserve"> Analisis Laporan Keuangan</w:t>
      </w:r>
      <w:r w:rsidRPr="007B1926">
        <w:rPr>
          <w:rFonts w:ascii="Century" w:hAnsi="Century" w:cs="Times New Roman"/>
          <w:sz w:val="24"/>
          <w:szCs w:val="24"/>
        </w:rPr>
        <w:t>. Jakarta : PT Grasindo</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Hery. 2015. </w:t>
      </w:r>
      <w:r w:rsidRPr="007B1926">
        <w:rPr>
          <w:rFonts w:ascii="Century" w:hAnsi="Century" w:cs="Times New Roman"/>
          <w:bCs/>
          <w:i/>
          <w:iCs/>
          <w:sz w:val="24"/>
          <w:szCs w:val="24"/>
        </w:rPr>
        <w:t>Analisa Laporan Keuangan</w:t>
      </w:r>
      <w:r w:rsidRPr="007B1926">
        <w:rPr>
          <w:rFonts w:ascii="Century" w:hAnsi="Century" w:cs="Times New Roman"/>
          <w:sz w:val="24"/>
          <w:szCs w:val="24"/>
        </w:rPr>
        <w:t xml:space="preserve"> </w:t>
      </w:r>
      <w:r w:rsidRPr="007B1926">
        <w:rPr>
          <w:rFonts w:ascii="Century" w:hAnsi="Century" w:cs="Times New Roman"/>
          <w:bCs/>
          <w:i/>
          <w:iCs/>
          <w:sz w:val="24"/>
          <w:szCs w:val="24"/>
        </w:rPr>
        <w:t>Pendekatan Rasio Keuangan</w:t>
      </w:r>
      <w:r w:rsidRPr="007B1926">
        <w:rPr>
          <w:rFonts w:ascii="Century" w:hAnsi="Century" w:cs="Times New Roman"/>
          <w:sz w:val="24"/>
          <w:szCs w:val="24"/>
        </w:rPr>
        <w:t>. Cetakan Pertama.Yogyakarta : PT Buku Seru.</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Jogiyanto, H. 2003. </w:t>
      </w:r>
      <w:r w:rsidRPr="007B1926">
        <w:rPr>
          <w:rFonts w:ascii="Century" w:hAnsi="Century" w:cs="Times New Roman"/>
          <w:i/>
          <w:iCs/>
          <w:sz w:val="24"/>
          <w:szCs w:val="24"/>
        </w:rPr>
        <w:t>Teori Portofolio Dan Analisis Investasi</w:t>
      </w:r>
      <w:r w:rsidRPr="007B1926">
        <w:rPr>
          <w:rFonts w:ascii="Century" w:hAnsi="Century" w:cs="Times New Roman"/>
          <w:sz w:val="24"/>
          <w:szCs w:val="24"/>
        </w:rPr>
        <w:t xml:space="preserve">. Edisi Kelima. Yogyakarta : BPFE. </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lastRenderedPageBreak/>
        <w:t>Karpavičius, S., &amp; Yu, F. (2018). Dividend premium: Are dividend-paying stocks worth more? International Review of Financial Analysis, 56, 112-126.</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Kodrat, David Sukardi &amp; Indonanjaya.2010. </w:t>
      </w:r>
      <w:r w:rsidRPr="007B1926">
        <w:rPr>
          <w:rFonts w:ascii="Century" w:hAnsi="Century" w:cs="Times New Roman"/>
          <w:bCs/>
          <w:i/>
          <w:iCs/>
          <w:sz w:val="24"/>
          <w:szCs w:val="24"/>
        </w:rPr>
        <w:t>Manajemen Investasi: Pendekatan</w:t>
      </w:r>
      <w:r w:rsidRPr="007B1926">
        <w:rPr>
          <w:rFonts w:ascii="Century" w:hAnsi="Century" w:cs="Times New Roman"/>
          <w:sz w:val="24"/>
          <w:szCs w:val="24"/>
        </w:rPr>
        <w:t xml:space="preserve"> </w:t>
      </w:r>
      <w:r w:rsidRPr="007B1926">
        <w:rPr>
          <w:rFonts w:ascii="Century" w:hAnsi="Century" w:cs="Times New Roman"/>
          <w:bCs/>
          <w:i/>
          <w:iCs/>
          <w:sz w:val="24"/>
          <w:szCs w:val="24"/>
        </w:rPr>
        <w:t>Teknikal danFundamental untuk</w:t>
      </w:r>
      <w:r w:rsidRPr="007B1926">
        <w:rPr>
          <w:rFonts w:ascii="Century" w:hAnsi="Century" w:cs="Times New Roman"/>
          <w:sz w:val="24"/>
          <w:szCs w:val="24"/>
        </w:rPr>
        <w:t xml:space="preserve"> </w:t>
      </w:r>
      <w:r w:rsidRPr="007B1926">
        <w:rPr>
          <w:rFonts w:ascii="Century" w:hAnsi="Century" w:cs="Times New Roman"/>
          <w:bCs/>
          <w:i/>
          <w:iCs/>
          <w:sz w:val="24"/>
          <w:szCs w:val="24"/>
        </w:rPr>
        <w:t>Analisis Saham</w:t>
      </w:r>
      <w:r w:rsidRPr="007B1926">
        <w:rPr>
          <w:rFonts w:ascii="Century" w:hAnsi="Century" w:cs="Times New Roman"/>
          <w:b/>
          <w:bCs/>
          <w:i/>
          <w:iCs/>
          <w:sz w:val="24"/>
          <w:szCs w:val="24"/>
        </w:rPr>
        <w:t xml:space="preserve">. </w:t>
      </w:r>
      <w:r w:rsidRPr="007B1926">
        <w:rPr>
          <w:rFonts w:ascii="Century" w:hAnsi="Century" w:cs="Times New Roman"/>
          <w:sz w:val="24"/>
          <w:szCs w:val="24"/>
        </w:rPr>
        <w:t>Cetakan Pertama. Yogyakarta: Graha Ilmu.</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Manan</w:t>
      </w:r>
      <w:r w:rsidRPr="007B1926">
        <w:rPr>
          <w:rFonts w:ascii="Century" w:hAnsi="Century" w:cs="Times New Roman"/>
          <w:i/>
          <w:iCs/>
          <w:sz w:val="24"/>
          <w:szCs w:val="24"/>
        </w:rPr>
        <w:t xml:space="preserve">, </w:t>
      </w:r>
      <w:r w:rsidRPr="007B1926">
        <w:rPr>
          <w:rFonts w:ascii="Century" w:hAnsi="Century" w:cs="Times New Roman"/>
          <w:sz w:val="24"/>
          <w:szCs w:val="24"/>
        </w:rPr>
        <w:t xml:space="preserve">Abdul. 2012. </w:t>
      </w:r>
      <w:r w:rsidRPr="007B1926">
        <w:rPr>
          <w:rFonts w:ascii="Century" w:hAnsi="Century" w:cs="Times New Roman"/>
          <w:i/>
          <w:iCs/>
          <w:sz w:val="24"/>
          <w:szCs w:val="24"/>
        </w:rPr>
        <w:t xml:space="preserve">Aspek Hukum Dalam Penyelenggaraan Investasi Di Pasar Modal Syariah Indonesia. </w:t>
      </w:r>
      <w:r w:rsidRPr="007B1926">
        <w:rPr>
          <w:rFonts w:ascii="Century" w:hAnsi="Century" w:cs="Times New Roman"/>
          <w:sz w:val="24"/>
          <w:szCs w:val="24"/>
        </w:rPr>
        <w:t>Jakarta: Kencana.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Pasal 1 ayat (4) UU Nomor 8 Tahun 1995 Tentang Pasar Modal.</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Prastowo, D. (2014). </w:t>
      </w:r>
      <w:r w:rsidRPr="007B1926">
        <w:rPr>
          <w:rFonts w:ascii="Century" w:hAnsi="Century" w:cs="Times New Roman"/>
          <w:i/>
          <w:iCs/>
          <w:sz w:val="24"/>
          <w:szCs w:val="24"/>
        </w:rPr>
        <w:t xml:space="preserve">Analisis Laporan Keuangan: Konsep dan Aplikasi </w:t>
      </w:r>
      <w:r w:rsidRPr="007B1926">
        <w:rPr>
          <w:rFonts w:ascii="Century" w:hAnsi="Century" w:cs="Times New Roman"/>
          <w:sz w:val="24"/>
          <w:szCs w:val="24"/>
        </w:rPr>
        <w:t>(Ketiga). Yogyakarta: UPP STIM YKPN.</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Ross, Stepehen A., Westerfield, Randolph W. &amp; Bradford, Jordan D. (2013).</w:t>
      </w:r>
      <w:r w:rsidRPr="007B1926">
        <w:rPr>
          <w:rFonts w:ascii="Century" w:hAnsi="Century" w:cs="Times New Roman"/>
          <w:sz w:val="24"/>
          <w:szCs w:val="24"/>
        </w:rPr>
        <w:br/>
      </w:r>
      <w:r w:rsidRPr="007B1926">
        <w:rPr>
          <w:rFonts w:ascii="Century" w:hAnsi="Century" w:cs="Times New Roman"/>
          <w:i/>
          <w:iCs/>
          <w:sz w:val="24"/>
          <w:szCs w:val="24"/>
        </w:rPr>
        <w:t>Fundamental of Corporate Finance</w:t>
      </w:r>
      <w:r w:rsidRPr="007B1926">
        <w:rPr>
          <w:rFonts w:ascii="Century" w:hAnsi="Century" w:cs="Times New Roman"/>
          <w:sz w:val="24"/>
          <w:szCs w:val="24"/>
        </w:rPr>
        <w:t>. 10th ed. New York : Irwin/McGraw</w:t>
      </w:r>
      <w:r w:rsidRPr="007B1926">
        <w:rPr>
          <w:rFonts w:ascii="Century" w:hAnsi="Century" w:cs="Times New Roman"/>
          <w:sz w:val="24"/>
          <w:szCs w:val="24"/>
        </w:rPr>
        <w:br/>
        <w:t>Hill.</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Salvatore, Dominick. 2005. </w:t>
      </w:r>
      <w:r w:rsidRPr="007B1926">
        <w:rPr>
          <w:rFonts w:ascii="Century" w:hAnsi="Century" w:cs="Times New Roman"/>
          <w:i/>
          <w:iCs/>
          <w:sz w:val="24"/>
          <w:szCs w:val="24"/>
        </w:rPr>
        <w:t>Ekonomi Manajerial dalam Perekonomian Global</w:t>
      </w:r>
      <w:r w:rsidRPr="007B1926">
        <w:rPr>
          <w:rFonts w:ascii="Century" w:hAnsi="Century" w:cs="Times New Roman"/>
          <w:sz w:val="24"/>
          <w:szCs w:val="24"/>
        </w:rPr>
        <w:t>. Salemba Empat: Jakarta.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Samsul, Mohamad. 2006. </w:t>
      </w:r>
      <w:r w:rsidRPr="007B1926">
        <w:rPr>
          <w:rFonts w:ascii="Century" w:hAnsi="Century" w:cs="Times New Roman"/>
          <w:i/>
          <w:iCs/>
          <w:sz w:val="24"/>
          <w:szCs w:val="24"/>
        </w:rPr>
        <w:t>Pasar Modal &amp;</w:t>
      </w:r>
      <w:r w:rsidRPr="007B1926">
        <w:rPr>
          <w:rFonts w:ascii="Century" w:hAnsi="Century" w:cs="Times New Roman"/>
          <w:sz w:val="24"/>
          <w:szCs w:val="24"/>
        </w:rPr>
        <w:t xml:space="preserve">  </w:t>
      </w:r>
      <w:r w:rsidRPr="007B1926">
        <w:rPr>
          <w:rFonts w:ascii="Century" w:hAnsi="Century" w:cs="Times New Roman"/>
          <w:i/>
          <w:iCs/>
          <w:sz w:val="24"/>
          <w:szCs w:val="24"/>
        </w:rPr>
        <w:t>Manajemen Portofolio</w:t>
      </w:r>
      <w:r w:rsidRPr="007B1926">
        <w:rPr>
          <w:rFonts w:ascii="Century" w:hAnsi="Century" w:cs="Times New Roman"/>
          <w:sz w:val="24"/>
          <w:szCs w:val="24"/>
        </w:rPr>
        <w:t>. Jakarta: Penerbit Erlangga.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Sarngadharan, M., &amp; Kumar, S. R. (2011) </w:t>
      </w:r>
      <w:r w:rsidRPr="007B1926">
        <w:rPr>
          <w:rFonts w:ascii="Century" w:hAnsi="Century" w:cs="Times New Roman"/>
          <w:i/>
          <w:iCs/>
          <w:sz w:val="24"/>
          <w:szCs w:val="24"/>
        </w:rPr>
        <w:t>Financial Analysis for Management Decisions.</w:t>
      </w:r>
      <w:r w:rsidRPr="007B1926">
        <w:rPr>
          <w:rFonts w:ascii="Century" w:hAnsi="Century" w:cs="Times New Roman"/>
          <w:sz w:val="24"/>
          <w:szCs w:val="24"/>
        </w:rPr>
        <w:t xml:space="preserve"> New Delhi: PHI Learning Private Limited.</w:t>
      </w:r>
    </w:p>
    <w:p w:rsidR="0028259A" w:rsidRPr="007B1926" w:rsidRDefault="0028259A" w:rsidP="0063697F">
      <w:pPr>
        <w:spacing w:after="240"/>
        <w:ind w:left="993" w:hanging="993"/>
        <w:jc w:val="both"/>
        <w:rPr>
          <w:rFonts w:ascii="Century" w:hAnsi="Century" w:cs="Times New Roman"/>
          <w:sz w:val="24"/>
          <w:szCs w:val="24"/>
          <w:lang w:val="id-ID"/>
        </w:rPr>
      </w:pPr>
      <w:r w:rsidRPr="007B1926">
        <w:rPr>
          <w:rFonts w:ascii="Century" w:hAnsi="Century" w:cs="Times New Roman"/>
          <w:sz w:val="24"/>
          <w:szCs w:val="24"/>
          <w:lang w:val="id-ID"/>
        </w:rPr>
        <w:t xml:space="preserve">Sekaran, Uma. 2011. </w:t>
      </w:r>
      <w:r w:rsidRPr="007B1926">
        <w:rPr>
          <w:rFonts w:ascii="Century" w:hAnsi="Century" w:cs="Times New Roman"/>
          <w:i/>
          <w:sz w:val="24"/>
          <w:szCs w:val="24"/>
          <w:lang w:val="id-ID"/>
        </w:rPr>
        <w:t xml:space="preserve">Research Methods For Business (Metode Penelitian Untuk Bisnis). </w:t>
      </w:r>
      <w:r w:rsidRPr="007B1926">
        <w:rPr>
          <w:rFonts w:ascii="Century" w:hAnsi="Century" w:cs="Times New Roman"/>
          <w:sz w:val="24"/>
          <w:szCs w:val="24"/>
          <w:lang w:val="id-ID"/>
        </w:rPr>
        <w:t xml:space="preserve">Jakarta: Salemba Empat. </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Situmorang, Paulus. (2008). </w:t>
      </w:r>
      <w:r w:rsidRPr="007B1926">
        <w:rPr>
          <w:rFonts w:ascii="Century" w:hAnsi="Century" w:cs="Times New Roman"/>
          <w:i/>
          <w:iCs/>
          <w:sz w:val="24"/>
          <w:szCs w:val="24"/>
        </w:rPr>
        <w:t>Pengantar Pasar Modal</w:t>
      </w:r>
      <w:r w:rsidRPr="007B1926">
        <w:rPr>
          <w:rFonts w:ascii="Century" w:hAnsi="Century" w:cs="Times New Roman"/>
          <w:sz w:val="24"/>
          <w:szCs w:val="24"/>
        </w:rPr>
        <w:t>.Jakarta : Mitra Wacana Media.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Sudana, I Made. 2015. </w:t>
      </w:r>
      <w:r w:rsidRPr="007B1926">
        <w:rPr>
          <w:rFonts w:ascii="Century" w:hAnsi="Century" w:cs="Times New Roman"/>
          <w:i/>
          <w:sz w:val="24"/>
          <w:szCs w:val="24"/>
        </w:rPr>
        <w:t>Manajemen Keuangan Perusahaan Teori Dan Praktik. Edisi 2</w:t>
      </w:r>
      <w:r w:rsidRPr="007B1926">
        <w:rPr>
          <w:rFonts w:ascii="Century" w:hAnsi="Century" w:cs="Times New Roman"/>
          <w:sz w:val="24"/>
          <w:szCs w:val="24"/>
        </w:rPr>
        <w:t xml:space="preserve">. Ciracas Jakarta : Erlangga. </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Sugiyono. (2013). Metode Penelitian Pendidikan Pendekatan Kuantitatif, Kualitatif, dan R &amp; D. Bandung: Alfabeta.</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Sugiyono. (2017), </w:t>
      </w:r>
      <w:r w:rsidRPr="007B1926">
        <w:rPr>
          <w:rFonts w:ascii="Century" w:hAnsi="Century" w:cs="Times New Roman"/>
          <w:i/>
          <w:sz w:val="24"/>
          <w:szCs w:val="24"/>
        </w:rPr>
        <w:t xml:space="preserve">Metode Penelitian Kuantitatif, Kualitatif dan R&amp;D. </w:t>
      </w:r>
      <w:r w:rsidRPr="007B1926">
        <w:rPr>
          <w:rFonts w:ascii="Century" w:hAnsi="Century" w:cs="Times New Roman"/>
          <w:sz w:val="24"/>
          <w:szCs w:val="24"/>
        </w:rPr>
        <w:t xml:space="preserve">Bandung: Alfabeta. </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 xml:space="preserve">Tandelilin, E. (2010). </w:t>
      </w:r>
      <w:r w:rsidRPr="007B1926">
        <w:rPr>
          <w:rFonts w:ascii="Century" w:hAnsi="Century" w:cs="Times New Roman"/>
          <w:i/>
          <w:iCs/>
          <w:sz w:val="24"/>
          <w:szCs w:val="24"/>
        </w:rPr>
        <w:t xml:space="preserve">Portofolio dan Investasi Edisi Pertama. </w:t>
      </w:r>
      <w:r w:rsidRPr="007B1926">
        <w:rPr>
          <w:rFonts w:ascii="Century" w:hAnsi="Century" w:cs="Times New Roman"/>
          <w:sz w:val="24"/>
          <w:szCs w:val="24"/>
        </w:rPr>
        <w:t>Yogyakarta: Kanisius.</w:t>
      </w:r>
    </w:p>
    <w:p w:rsidR="0028259A" w:rsidRPr="007B1926" w:rsidRDefault="0028259A" w:rsidP="0063697F">
      <w:pPr>
        <w:spacing w:after="240"/>
        <w:ind w:left="993" w:hanging="993"/>
        <w:jc w:val="both"/>
        <w:rPr>
          <w:rFonts w:ascii="Century" w:hAnsi="Century" w:cs="Times New Roman"/>
          <w:sz w:val="24"/>
          <w:szCs w:val="24"/>
        </w:rPr>
      </w:pPr>
      <w:r w:rsidRPr="007B1926">
        <w:rPr>
          <w:rFonts w:ascii="Century" w:hAnsi="Century" w:cs="Times New Roman"/>
          <w:sz w:val="24"/>
          <w:szCs w:val="24"/>
        </w:rPr>
        <w:t>Yuliana, Indah. (2010). Investasi ProdukKeuangan Syariah; UINMALIKIPRESS (Anggota IKAPI), Malang.</w:t>
      </w:r>
    </w:p>
    <w:sectPr w:rsidR="0028259A" w:rsidRPr="007B1926" w:rsidSect="00810C78">
      <w:type w:val="continuous"/>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E22" w:rsidRDefault="00592E22">
      <w:r>
        <w:separator/>
      </w:r>
    </w:p>
  </w:endnote>
  <w:endnote w:type="continuationSeparator" w:id="1">
    <w:p w:rsidR="00592E22" w:rsidRDefault="00592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nte MT">
    <w:altName w:val="Dante 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E2" w:rsidRDefault="005F03E2">
    <w:pPr>
      <w:pStyle w:val="Footer"/>
      <w:jc w:val="center"/>
    </w:pPr>
  </w:p>
  <w:p w:rsidR="005F03E2" w:rsidRDefault="005F03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E22" w:rsidRDefault="00592E22">
      <w:r>
        <w:separator/>
      </w:r>
    </w:p>
  </w:footnote>
  <w:footnote w:type="continuationSeparator" w:id="1">
    <w:p w:rsidR="00592E22" w:rsidRDefault="00592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9"/>
    </w:tblGrid>
    <w:tr w:rsidR="005F03E2" w:rsidTr="00810C78">
      <w:tc>
        <w:tcPr>
          <w:tcW w:w="4508" w:type="dxa"/>
        </w:tcPr>
        <w:p w:rsidR="005F03E2" w:rsidRPr="00810C78" w:rsidRDefault="005F03E2" w:rsidP="00810C78">
          <w:pPr>
            <w:pStyle w:val="Header"/>
            <w:rPr>
              <w:rFonts w:ascii="Times New Roman" w:hAnsi="Times New Roman"/>
              <w:bCs/>
              <w:sz w:val="24"/>
              <w:szCs w:val="24"/>
            </w:rPr>
          </w:pPr>
          <w:r w:rsidRPr="00810C78">
            <w:rPr>
              <w:rFonts w:ascii="Century" w:eastAsia="Times New Roman" w:hAnsi="Century"/>
              <w:bCs/>
              <w:sz w:val="20"/>
              <w:szCs w:val="20"/>
            </w:rPr>
            <w:t>Mita Wijayanti</w:t>
          </w:r>
        </w:p>
      </w:tc>
      <w:tc>
        <w:tcPr>
          <w:tcW w:w="4509" w:type="dxa"/>
        </w:tcPr>
        <w:p w:rsidR="005F03E2" w:rsidRPr="00810C78" w:rsidRDefault="005F03E2">
          <w:pPr>
            <w:pStyle w:val="Header"/>
            <w:jc w:val="right"/>
            <w:rPr>
              <w:rFonts w:ascii="Times New Roman" w:hAnsi="Times New Roman"/>
              <w:bCs/>
              <w:sz w:val="24"/>
              <w:szCs w:val="24"/>
            </w:rPr>
          </w:pPr>
          <w:r w:rsidRPr="00810C78">
            <w:rPr>
              <w:rFonts w:ascii="Century" w:eastAsia="Times New Roman" w:hAnsi="Century"/>
              <w:bCs/>
              <w:sz w:val="20"/>
              <w:szCs w:val="20"/>
              <w:lang w:val="id-ID"/>
            </w:rPr>
            <w:t>Pengaruh Kebijakan Dividen, Profitabilitas, Dan Likuiditas Terhadap Harga Saham</w:t>
          </w:r>
        </w:p>
      </w:tc>
    </w:tr>
  </w:tbl>
  <w:p w:rsidR="005F03E2" w:rsidRPr="00873468" w:rsidRDefault="005F03E2" w:rsidP="00810C78">
    <w:pPr>
      <w:pStyle w:val="Head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E2" w:rsidRDefault="005F03E2">
    <w:pPr>
      <w:pStyle w:val="Header"/>
      <w:jc w:val="right"/>
    </w:pPr>
  </w:p>
  <w:p w:rsidR="005F03E2" w:rsidRPr="00D55797" w:rsidRDefault="005F03E2">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866F492"/>
    <w:lvl w:ilvl="0" w:tplc="084C901C">
      <w:start w:val="1"/>
      <w:numFmt w:val="lowerLetter"/>
      <w:lvlText w:val="%1)"/>
      <w:lvlJc w:val="left"/>
      <w:pPr>
        <w:ind w:left="1440" w:hanging="360"/>
      </w:pPr>
      <w:rPr>
        <w:rFonts w:hint="default"/>
        <w:b w:val="0"/>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1">
    <w:nsid w:val="00000002"/>
    <w:multiLevelType w:val="hybridMultilevel"/>
    <w:tmpl w:val="EEBAE3C0"/>
    <w:lvl w:ilvl="0" w:tplc="C7A6B496">
      <w:start w:val="1"/>
      <w:numFmt w:val="lowerLetter"/>
      <w:lvlText w:val="%1)"/>
      <w:lvlJc w:val="left"/>
      <w:pPr>
        <w:ind w:left="1800" w:hanging="360"/>
      </w:pPr>
      <w:rPr>
        <w:rFonts w:ascii="Times New Roman" w:eastAsia="Calibri" w:hAnsi="Times New Roman" w:cs="Times New Roman"/>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180"/>
      </w:pPr>
    </w:lvl>
    <w:lvl w:ilvl="3" w:tplc="0409000F">
      <w:start w:val="1"/>
      <w:numFmt w:val="decimal"/>
      <w:lvlRestart w:val="0"/>
      <w:lvlText w:val="%4."/>
      <w:lvlJc w:val="left"/>
      <w:pPr>
        <w:ind w:left="3960" w:hanging="360"/>
      </w:p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18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180"/>
      </w:pPr>
    </w:lvl>
  </w:abstractNum>
  <w:abstractNum w:abstractNumId="2">
    <w:nsid w:val="00000003"/>
    <w:multiLevelType w:val="hybridMultilevel"/>
    <w:tmpl w:val="4D3EAD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E1A60B6">
      <w:start w:val="1"/>
      <w:numFmt w:val="decimal"/>
      <w:lvlText w:val="%3."/>
      <w:lvlJc w:val="left"/>
      <w:pPr>
        <w:ind w:left="2340" w:hanging="360"/>
      </w:pPr>
      <w:rPr>
        <w:rFonts w:hint="default"/>
      </w:r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nsid w:val="00000004"/>
    <w:multiLevelType w:val="hybridMultilevel"/>
    <w:tmpl w:val="A866F492"/>
    <w:lvl w:ilvl="0" w:tplc="084C901C">
      <w:start w:val="1"/>
      <w:numFmt w:val="lowerLetter"/>
      <w:lvlText w:val="%1)"/>
      <w:lvlJc w:val="left"/>
      <w:pPr>
        <w:ind w:left="1440" w:hanging="360"/>
      </w:pPr>
      <w:rPr>
        <w:rFonts w:hint="default"/>
        <w:b w:val="0"/>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4">
    <w:nsid w:val="00000005"/>
    <w:multiLevelType w:val="hybridMultilevel"/>
    <w:tmpl w:val="6506044E"/>
    <w:lvl w:ilvl="0" w:tplc="7BFE5F9E">
      <w:start w:val="1"/>
      <w:numFmt w:val="decimal"/>
      <w:lvlText w:val="%1."/>
      <w:lvlJc w:val="left"/>
      <w:pPr>
        <w:ind w:left="720" w:hanging="360"/>
      </w:pPr>
      <w:rPr>
        <w:rFonts w:ascii="Times New Roman" w:eastAsia="Calibri" w:hAnsi="Times New Roman" w:cs="Times New Roman"/>
        <w:b/>
      </w:rPr>
    </w:lvl>
    <w:lvl w:ilvl="1" w:tplc="E8802E66">
      <w:start w:val="1"/>
      <w:numFmt w:val="decimal"/>
      <w:lvlText w:val="%2."/>
      <w:lvlJc w:val="left"/>
      <w:pPr>
        <w:ind w:left="1440" w:hanging="360"/>
      </w:pPr>
      <w:rPr>
        <w:rFonts w:ascii="Times New Roman" w:eastAsia="Calibri" w:hAnsi="Times New Roman" w:cs="Times New Roman"/>
        <w:b w:val="0"/>
        <w:sz w:val="20"/>
        <w:szCs w:val="20"/>
      </w:rPr>
    </w:lvl>
    <w:lvl w:ilvl="2" w:tplc="0409001B">
      <w:start w:val="1"/>
      <w:numFmt w:val="lowerRoman"/>
      <w:lvlText w:val="%3."/>
      <w:lvlJc w:val="right"/>
      <w:pPr>
        <w:ind w:left="2160" w:hanging="180"/>
      </w:pPr>
    </w:lvl>
    <w:lvl w:ilvl="3" w:tplc="92F67FC2">
      <w:start w:val="1"/>
      <w:numFmt w:val="lowerLetter"/>
      <w:lvlText w:val="%4."/>
      <w:lvlJc w:val="left"/>
      <w:pPr>
        <w:ind w:left="2880" w:hanging="360"/>
      </w:pPr>
      <w:rPr>
        <w:rFonts w:ascii="Times New Roman" w:eastAsia="Calibri" w:hAnsi="Times New Roman" w:cs="Times New Roman"/>
      </w:rPr>
    </w:lvl>
    <w:lvl w:ilvl="4" w:tplc="FF32D46A">
      <w:start w:val="1"/>
      <w:numFmt w:val="lowerLetter"/>
      <w:lvlText w:val="%5."/>
      <w:lvlJc w:val="left"/>
      <w:pPr>
        <w:ind w:left="3600" w:hanging="360"/>
      </w:pPr>
      <w:rPr>
        <w:rFonts w:hint="default"/>
      </w:r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nsid w:val="00000006"/>
    <w:multiLevelType w:val="hybridMultilevel"/>
    <w:tmpl w:val="F79E0A72"/>
    <w:lvl w:ilvl="0" w:tplc="2612FAD4">
      <w:start w:val="1"/>
      <w:numFmt w:val="lowerLetter"/>
      <w:lvlText w:val="%1)"/>
      <w:lvlJc w:val="left"/>
      <w:pPr>
        <w:ind w:left="1440" w:hanging="360"/>
      </w:pPr>
      <w:rPr>
        <w:rFonts w:hint="default"/>
        <w:b w:val="0"/>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6">
    <w:nsid w:val="00000007"/>
    <w:multiLevelType w:val="hybridMultilevel"/>
    <w:tmpl w:val="F76C7B0A"/>
    <w:lvl w:ilvl="0" w:tplc="AFBAE1E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hybridMultilevel"/>
    <w:tmpl w:val="C8AAB950"/>
    <w:lvl w:ilvl="0" w:tplc="810890B4">
      <w:start w:val="1"/>
      <w:numFmt w:val="decimal"/>
      <w:lvlText w:val="%1."/>
      <w:lvlJc w:val="left"/>
      <w:pPr>
        <w:ind w:left="1069" w:hanging="360"/>
      </w:pPr>
      <w:rPr>
        <w:rFonts w:hint="default"/>
      </w:rPr>
    </w:lvl>
    <w:lvl w:ilvl="1" w:tplc="04210019">
      <w:start w:val="1"/>
      <w:numFmt w:val="lowerLetter"/>
      <w:lvlRestart w:val="0"/>
      <w:lvlText w:val="%2."/>
      <w:lvlJc w:val="left"/>
      <w:pPr>
        <w:ind w:left="1789" w:hanging="360"/>
      </w:pPr>
    </w:lvl>
    <w:lvl w:ilvl="2" w:tplc="0421001B">
      <w:start w:val="1"/>
      <w:numFmt w:val="lowerRoman"/>
      <w:lvlRestart w:val="0"/>
      <w:lvlText w:val="%3."/>
      <w:lvlJc w:val="right"/>
      <w:pPr>
        <w:ind w:left="2509" w:hanging="180"/>
      </w:pPr>
    </w:lvl>
    <w:lvl w:ilvl="3" w:tplc="0421000F">
      <w:start w:val="1"/>
      <w:numFmt w:val="decimal"/>
      <w:lvlRestart w:val="0"/>
      <w:lvlText w:val="%4."/>
      <w:lvlJc w:val="left"/>
      <w:pPr>
        <w:ind w:left="3229" w:hanging="360"/>
      </w:pPr>
    </w:lvl>
    <w:lvl w:ilvl="4" w:tplc="04210019">
      <w:start w:val="1"/>
      <w:numFmt w:val="lowerLetter"/>
      <w:lvlRestart w:val="0"/>
      <w:lvlText w:val="%5."/>
      <w:lvlJc w:val="left"/>
      <w:pPr>
        <w:ind w:left="3949" w:hanging="360"/>
      </w:pPr>
    </w:lvl>
    <w:lvl w:ilvl="5" w:tplc="0421001B">
      <w:start w:val="1"/>
      <w:numFmt w:val="lowerRoman"/>
      <w:lvlRestart w:val="0"/>
      <w:lvlText w:val="%6."/>
      <w:lvlJc w:val="right"/>
      <w:pPr>
        <w:ind w:left="4669" w:hanging="180"/>
      </w:pPr>
    </w:lvl>
    <w:lvl w:ilvl="6" w:tplc="0421000F">
      <w:start w:val="1"/>
      <w:numFmt w:val="decimal"/>
      <w:lvlRestart w:val="0"/>
      <w:lvlText w:val="%7."/>
      <w:lvlJc w:val="left"/>
      <w:pPr>
        <w:ind w:left="5389" w:hanging="360"/>
      </w:pPr>
    </w:lvl>
    <w:lvl w:ilvl="7" w:tplc="04210019">
      <w:start w:val="1"/>
      <w:numFmt w:val="lowerLetter"/>
      <w:lvlRestart w:val="0"/>
      <w:lvlText w:val="%8."/>
      <w:lvlJc w:val="left"/>
      <w:pPr>
        <w:ind w:left="6109" w:hanging="360"/>
      </w:pPr>
    </w:lvl>
    <w:lvl w:ilvl="8" w:tplc="0421001B">
      <w:start w:val="1"/>
      <w:numFmt w:val="lowerRoman"/>
      <w:lvlRestart w:val="0"/>
      <w:lvlText w:val="%9."/>
      <w:lvlJc w:val="right"/>
      <w:pPr>
        <w:ind w:left="6829" w:hanging="180"/>
      </w:pPr>
    </w:lvl>
  </w:abstractNum>
  <w:abstractNum w:abstractNumId="8">
    <w:nsid w:val="00000009"/>
    <w:multiLevelType w:val="hybridMultilevel"/>
    <w:tmpl w:val="6C6856CA"/>
    <w:lvl w:ilvl="0" w:tplc="FFF87450">
      <w:start w:val="1"/>
      <w:numFmt w:val="decimal"/>
      <w:lvlText w:val="%1."/>
      <w:lvlJc w:val="left"/>
      <w:pPr>
        <w:ind w:left="720" w:hanging="360"/>
      </w:pPr>
      <w:rPr>
        <w:rFonts w:hint="default"/>
        <w:b w:val="0"/>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nsid w:val="0000000A"/>
    <w:multiLevelType w:val="hybridMultilevel"/>
    <w:tmpl w:val="4566C044"/>
    <w:lvl w:ilvl="0" w:tplc="7410253C">
      <w:start w:val="1"/>
      <w:numFmt w:val="lowerLetter"/>
      <w:lvlText w:val="%1)"/>
      <w:lvlJc w:val="left"/>
      <w:pPr>
        <w:ind w:left="1440" w:hanging="360"/>
      </w:pPr>
      <w:rPr>
        <w:rFonts w:hint="default"/>
        <w:b w:val="0"/>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10">
    <w:nsid w:val="0000000B"/>
    <w:multiLevelType w:val="multilevel"/>
    <w:tmpl w:val="3568630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0000000C"/>
    <w:multiLevelType w:val="hybridMultilevel"/>
    <w:tmpl w:val="6A56DC10"/>
    <w:lvl w:ilvl="0" w:tplc="D10EA1A0">
      <w:start w:val="1"/>
      <w:numFmt w:val="lowerLetter"/>
      <w:lvlText w:val="%1)"/>
      <w:lvlJc w:val="left"/>
      <w:pPr>
        <w:ind w:left="1440" w:hanging="360"/>
      </w:pPr>
      <w:rPr>
        <w:rFonts w:hint="default"/>
        <w:b w:val="0"/>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12">
    <w:nsid w:val="0000000D"/>
    <w:multiLevelType w:val="hybridMultilevel"/>
    <w:tmpl w:val="FD08CEC4"/>
    <w:lvl w:ilvl="0" w:tplc="F55A2DA8">
      <w:start w:val="1"/>
      <w:numFmt w:val="lowerLetter"/>
      <w:lvlText w:val="%1)"/>
      <w:lvlJc w:val="left"/>
      <w:pPr>
        <w:ind w:left="1800" w:hanging="360"/>
      </w:pPr>
      <w:rPr>
        <w:b w:val="0"/>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180"/>
      </w:pPr>
    </w:lvl>
    <w:lvl w:ilvl="3" w:tplc="0409000F">
      <w:start w:val="1"/>
      <w:numFmt w:val="decimal"/>
      <w:lvlRestart w:val="0"/>
      <w:lvlText w:val="%4."/>
      <w:lvlJc w:val="left"/>
      <w:pPr>
        <w:ind w:left="3960" w:hanging="360"/>
      </w:p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18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180"/>
      </w:pPr>
    </w:lvl>
  </w:abstractNum>
  <w:abstractNum w:abstractNumId="13">
    <w:nsid w:val="0000000E"/>
    <w:multiLevelType w:val="hybridMultilevel"/>
    <w:tmpl w:val="CFEC3CD6"/>
    <w:lvl w:ilvl="0" w:tplc="04090001">
      <w:start w:val="1"/>
      <w:numFmt w:val="bullet"/>
      <w:lvlText w:val=""/>
      <w:lvlJc w:val="left"/>
      <w:pPr>
        <w:ind w:left="1800" w:hanging="360"/>
      </w:pPr>
      <w:rPr>
        <w:rFonts w:ascii="Symbol" w:hAnsi="Symbol" w:hint="default"/>
        <w:color w:val="auto"/>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0000000F"/>
    <w:multiLevelType w:val="hybridMultilevel"/>
    <w:tmpl w:val="76065C5E"/>
    <w:lvl w:ilvl="0" w:tplc="5244573E">
      <w:start w:val="1"/>
      <w:numFmt w:val="lowerLetter"/>
      <w:lvlText w:val="%1."/>
      <w:lvlJc w:val="left"/>
      <w:pPr>
        <w:ind w:left="2520" w:hanging="360"/>
      </w:pPr>
      <w:rPr>
        <w:rFonts w:ascii="Times New Roman" w:eastAsia="Calibri" w:hAnsi="Times New Roman" w:cs="Times New Roman"/>
      </w:rPr>
    </w:lvl>
    <w:lvl w:ilvl="1" w:tplc="04210003">
      <w:start w:val="1"/>
      <w:numFmt w:val="bullet"/>
      <w:lvlRestart w:val="0"/>
      <w:lvlText w:val="o"/>
      <w:lvlJc w:val="left"/>
      <w:pPr>
        <w:ind w:left="3240" w:hanging="360"/>
      </w:pPr>
      <w:rPr>
        <w:rFonts w:ascii="Courier New" w:hAnsi="Courier New" w:hint="default"/>
      </w:rPr>
    </w:lvl>
    <w:lvl w:ilvl="2" w:tplc="04210005">
      <w:start w:val="1"/>
      <w:numFmt w:val="bullet"/>
      <w:lvlRestart w:val="0"/>
      <w:lvlText w:val=""/>
      <w:lvlJc w:val="left"/>
      <w:pPr>
        <w:ind w:left="3960" w:hanging="360"/>
      </w:pPr>
      <w:rPr>
        <w:rFonts w:ascii="Wingdings" w:hAnsi="Wingdings" w:hint="default"/>
      </w:rPr>
    </w:lvl>
    <w:lvl w:ilvl="3" w:tplc="04210001">
      <w:start w:val="1"/>
      <w:numFmt w:val="bullet"/>
      <w:lvlRestart w:val="0"/>
      <w:lvlText w:val=""/>
      <w:lvlJc w:val="left"/>
      <w:pPr>
        <w:ind w:left="4680" w:hanging="360"/>
      </w:pPr>
      <w:rPr>
        <w:rFonts w:ascii="Symbol" w:hAnsi="Symbol" w:hint="default"/>
      </w:rPr>
    </w:lvl>
    <w:lvl w:ilvl="4" w:tplc="04210003">
      <w:start w:val="1"/>
      <w:numFmt w:val="bullet"/>
      <w:lvlRestart w:val="0"/>
      <w:lvlText w:val="o"/>
      <w:lvlJc w:val="left"/>
      <w:pPr>
        <w:ind w:left="5400" w:hanging="360"/>
      </w:pPr>
      <w:rPr>
        <w:rFonts w:ascii="Courier New" w:hAnsi="Courier New" w:hint="default"/>
      </w:rPr>
    </w:lvl>
    <w:lvl w:ilvl="5" w:tplc="04210005">
      <w:start w:val="1"/>
      <w:numFmt w:val="bullet"/>
      <w:lvlRestart w:val="0"/>
      <w:lvlText w:val=""/>
      <w:lvlJc w:val="left"/>
      <w:pPr>
        <w:ind w:left="6120" w:hanging="360"/>
      </w:pPr>
      <w:rPr>
        <w:rFonts w:ascii="Wingdings" w:hAnsi="Wingdings" w:hint="default"/>
      </w:rPr>
    </w:lvl>
    <w:lvl w:ilvl="6" w:tplc="04210001">
      <w:start w:val="1"/>
      <w:numFmt w:val="bullet"/>
      <w:lvlRestart w:val="0"/>
      <w:lvlText w:val=""/>
      <w:lvlJc w:val="left"/>
      <w:pPr>
        <w:ind w:left="6840" w:hanging="360"/>
      </w:pPr>
      <w:rPr>
        <w:rFonts w:ascii="Symbol" w:hAnsi="Symbol" w:hint="default"/>
      </w:rPr>
    </w:lvl>
    <w:lvl w:ilvl="7" w:tplc="04210003">
      <w:start w:val="1"/>
      <w:numFmt w:val="bullet"/>
      <w:lvlRestart w:val="0"/>
      <w:lvlText w:val="o"/>
      <w:lvlJc w:val="left"/>
      <w:pPr>
        <w:ind w:left="7560" w:hanging="360"/>
      </w:pPr>
      <w:rPr>
        <w:rFonts w:ascii="Courier New" w:hAnsi="Courier New" w:hint="default"/>
      </w:rPr>
    </w:lvl>
    <w:lvl w:ilvl="8" w:tplc="04210005">
      <w:start w:val="1"/>
      <w:numFmt w:val="bullet"/>
      <w:lvlRestart w:val="0"/>
      <w:lvlText w:val=""/>
      <w:lvlJc w:val="left"/>
      <w:pPr>
        <w:ind w:left="8280" w:hanging="360"/>
      </w:pPr>
      <w:rPr>
        <w:rFonts w:ascii="Wingdings" w:hAnsi="Wingdings" w:hint="default"/>
      </w:rPr>
    </w:lvl>
  </w:abstractNum>
  <w:abstractNum w:abstractNumId="15">
    <w:nsid w:val="00000010"/>
    <w:multiLevelType w:val="hybridMultilevel"/>
    <w:tmpl w:val="EEBAE3C0"/>
    <w:lvl w:ilvl="0" w:tplc="C7A6B496">
      <w:start w:val="1"/>
      <w:numFmt w:val="lowerLetter"/>
      <w:lvlText w:val="%1)"/>
      <w:lvlJc w:val="left"/>
      <w:pPr>
        <w:ind w:left="1800" w:hanging="360"/>
      </w:pPr>
      <w:rPr>
        <w:rFonts w:ascii="Times New Roman" w:eastAsia="Calibri" w:hAnsi="Times New Roman" w:cs="Times New Roman"/>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180"/>
      </w:pPr>
    </w:lvl>
    <w:lvl w:ilvl="3" w:tplc="0409000F">
      <w:start w:val="1"/>
      <w:numFmt w:val="decimal"/>
      <w:lvlRestart w:val="0"/>
      <w:lvlText w:val="%4."/>
      <w:lvlJc w:val="left"/>
      <w:pPr>
        <w:ind w:left="3960" w:hanging="360"/>
      </w:p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18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180"/>
      </w:pPr>
    </w:lvl>
  </w:abstractNum>
  <w:abstractNum w:abstractNumId="16">
    <w:nsid w:val="00000011"/>
    <w:multiLevelType w:val="hybridMultilevel"/>
    <w:tmpl w:val="C80E7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0000012"/>
    <w:multiLevelType w:val="hybridMultilevel"/>
    <w:tmpl w:val="6FBE5046"/>
    <w:lvl w:ilvl="0" w:tplc="CC100CAC">
      <w:start w:val="1"/>
      <w:numFmt w:val="decimal"/>
      <w:lvlText w:val="%1."/>
      <w:lvlJc w:val="left"/>
      <w:pPr>
        <w:ind w:left="1069" w:hanging="360"/>
      </w:pPr>
      <w:rPr>
        <w:rFonts w:hint="default"/>
      </w:rPr>
    </w:lvl>
    <w:lvl w:ilvl="1" w:tplc="04210019">
      <w:start w:val="1"/>
      <w:numFmt w:val="lowerLetter"/>
      <w:lvlRestart w:val="0"/>
      <w:lvlText w:val="%2."/>
      <w:lvlJc w:val="left"/>
      <w:pPr>
        <w:ind w:left="1789" w:hanging="360"/>
      </w:pPr>
    </w:lvl>
    <w:lvl w:ilvl="2" w:tplc="0421001B">
      <w:start w:val="1"/>
      <w:numFmt w:val="lowerRoman"/>
      <w:lvlRestart w:val="0"/>
      <w:lvlText w:val="%3."/>
      <w:lvlJc w:val="right"/>
      <w:pPr>
        <w:ind w:left="2509" w:hanging="180"/>
      </w:pPr>
    </w:lvl>
    <w:lvl w:ilvl="3" w:tplc="0421000F">
      <w:start w:val="1"/>
      <w:numFmt w:val="decimal"/>
      <w:lvlRestart w:val="0"/>
      <w:lvlText w:val="%4."/>
      <w:lvlJc w:val="left"/>
      <w:pPr>
        <w:ind w:left="3229" w:hanging="360"/>
      </w:pPr>
    </w:lvl>
    <w:lvl w:ilvl="4" w:tplc="04210019">
      <w:start w:val="1"/>
      <w:numFmt w:val="lowerLetter"/>
      <w:lvlRestart w:val="0"/>
      <w:lvlText w:val="%5."/>
      <w:lvlJc w:val="left"/>
      <w:pPr>
        <w:ind w:left="3949" w:hanging="360"/>
      </w:pPr>
    </w:lvl>
    <w:lvl w:ilvl="5" w:tplc="0421001B">
      <w:start w:val="1"/>
      <w:numFmt w:val="lowerRoman"/>
      <w:lvlRestart w:val="0"/>
      <w:lvlText w:val="%6."/>
      <w:lvlJc w:val="right"/>
      <w:pPr>
        <w:ind w:left="4669" w:hanging="180"/>
      </w:pPr>
    </w:lvl>
    <w:lvl w:ilvl="6" w:tplc="0421000F">
      <w:start w:val="1"/>
      <w:numFmt w:val="decimal"/>
      <w:lvlRestart w:val="0"/>
      <w:lvlText w:val="%7."/>
      <w:lvlJc w:val="left"/>
      <w:pPr>
        <w:ind w:left="5389" w:hanging="360"/>
      </w:pPr>
    </w:lvl>
    <w:lvl w:ilvl="7" w:tplc="04210019">
      <w:start w:val="1"/>
      <w:numFmt w:val="lowerLetter"/>
      <w:lvlRestart w:val="0"/>
      <w:lvlText w:val="%8."/>
      <w:lvlJc w:val="left"/>
      <w:pPr>
        <w:ind w:left="6109" w:hanging="360"/>
      </w:pPr>
    </w:lvl>
    <w:lvl w:ilvl="8" w:tplc="0421001B">
      <w:start w:val="1"/>
      <w:numFmt w:val="lowerRoman"/>
      <w:lvlRestart w:val="0"/>
      <w:lvlText w:val="%9."/>
      <w:lvlJc w:val="right"/>
      <w:pPr>
        <w:ind w:left="6829" w:hanging="180"/>
      </w:pPr>
    </w:lvl>
  </w:abstractNum>
  <w:abstractNum w:abstractNumId="18">
    <w:nsid w:val="00000013"/>
    <w:multiLevelType w:val="hybridMultilevel"/>
    <w:tmpl w:val="9A0E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00000014"/>
    <w:multiLevelType w:val="hybridMultilevel"/>
    <w:tmpl w:val="F79E0A72"/>
    <w:lvl w:ilvl="0" w:tplc="2612FAD4">
      <w:start w:val="1"/>
      <w:numFmt w:val="lowerLetter"/>
      <w:lvlText w:val="%1)"/>
      <w:lvlJc w:val="left"/>
      <w:pPr>
        <w:ind w:left="1440" w:hanging="360"/>
      </w:pPr>
      <w:rPr>
        <w:rFonts w:hint="default"/>
        <w:b w:val="0"/>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0">
    <w:nsid w:val="00000015"/>
    <w:multiLevelType w:val="hybridMultilevel"/>
    <w:tmpl w:val="FD08CEC4"/>
    <w:lvl w:ilvl="0" w:tplc="F55A2DA8">
      <w:start w:val="1"/>
      <w:numFmt w:val="lowerLetter"/>
      <w:lvlText w:val="%1)"/>
      <w:lvlJc w:val="left"/>
      <w:pPr>
        <w:ind w:left="1800" w:hanging="360"/>
      </w:pPr>
      <w:rPr>
        <w:b w:val="0"/>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180"/>
      </w:pPr>
    </w:lvl>
    <w:lvl w:ilvl="3" w:tplc="0409000F">
      <w:start w:val="1"/>
      <w:numFmt w:val="decimal"/>
      <w:lvlRestart w:val="0"/>
      <w:lvlText w:val="%4."/>
      <w:lvlJc w:val="left"/>
      <w:pPr>
        <w:ind w:left="3960" w:hanging="360"/>
      </w:p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18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180"/>
      </w:pPr>
    </w:lvl>
  </w:abstractNum>
  <w:abstractNum w:abstractNumId="21">
    <w:nsid w:val="00000016"/>
    <w:multiLevelType w:val="hybridMultilevel"/>
    <w:tmpl w:val="4566C044"/>
    <w:lvl w:ilvl="0" w:tplc="7410253C">
      <w:start w:val="1"/>
      <w:numFmt w:val="lowerLetter"/>
      <w:lvlText w:val="%1)"/>
      <w:lvlJc w:val="left"/>
      <w:pPr>
        <w:ind w:left="1440" w:hanging="360"/>
      </w:pPr>
      <w:rPr>
        <w:rFonts w:hint="default"/>
        <w:b w:val="0"/>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2">
    <w:nsid w:val="00000017"/>
    <w:multiLevelType w:val="hybridMultilevel"/>
    <w:tmpl w:val="F57E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00000018"/>
    <w:multiLevelType w:val="hybridMultilevel"/>
    <w:tmpl w:val="AAEEF17C"/>
    <w:lvl w:ilvl="0" w:tplc="284C3E68">
      <w:start w:val="1"/>
      <w:numFmt w:val="decimal"/>
      <w:lvlText w:val="%1."/>
      <w:lvlJc w:val="left"/>
      <w:pPr>
        <w:ind w:left="630" w:hanging="360"/>
      </w:pPr>
      <w:rPr>
        <w:rFonts w:hint="default"/>
      </w:rPr>
    </w:lvl>
    <w:lvl w:ilvl="1" w:tplc="04090019">
      <w:start w:val="1"/>
      <w:numFmt w:val="lowerLetter"/>
      <w:lvlRestart w:val="0"/>
      <w:lvlText w:val="%2."/>
      <w:lvlJc w:val="left"/>
      <w:pPr>
        <w:ind w:left="1350" w:hanging="360"/>
      </w:pPr>
    </w:lvl>
    <w:lvl w:ilvl="2" w:tplc="0409001B">
      <w:start w:val="1"/>
      <w:numFmt w:val="lowerRoman"/>
      <w:lvlRestart w:val="0"/>
      <w:lvlText w:val="%3."/>
      <w:lvlJc w:val="right"/>
      <w:pPr>
        <w:ind w:left="2070" w:hanging="180"/>
      </w:pPr>
    </w:lvl>
    <w:lvl w:ilvl="3" w:tplc="0409000F">
      <w:start w:val="1"/>
      <w:numFmt w:val="decimal"/>
      <w:lvlRestart w:val="0"/>
      <w:lvlText w:val="%4."/>
      <w:lvlJc w:val="left"/>
      <w:pPr>
        <w:ind w:left="2790" w:hanging="360"/>
      </w:pPr>
    </w:lvl>
    <w:lvl w:ilvl="4" w:tplc="04090019">
      <w:start w:val="1"/>
      <w:numFmt w:val="lowerLetter"/>
      <w:lvlRestart w:val="0"/>
      <w:lvlText w:val="%5."/>
      <w:lvlJc w:val="left"/>
      <w:pPr>
        <w:ind w:left="3510" w:hanging="360"/>
      </w:pPr>
    </w:lvl>
    <w:lvl w:ilvl="5" w:tplc="0409001B">
      <w:start w:val="1"/>
      <w:numFmt w:val="lowerRoman"/>
      <w:lvlRestart w:val="0"/>
      <w:lvlText w:val="%6."/>
      <w:lvlJc w:val="right"/>
      <w:pPr>
        <w:ind w:left="4230" w:hanging="180"/>
      </w:pPr>
    </w:lvl>
    <w:lvl w:ilvl="6" w:tplc="0409000F">
      <w:start w:val="1"/>
      <w:numFmt w:val="decimal"/>
      <w:lvlRestart w:val="0"/>
      <w:lvlText w:val="%7."/>
      <w:lvlJc w:val="left"/>
      <w:pPr>
        <w:ind w:left="4950" w:hanging="360"/>
      </w:pPr>
    </w:lvl>
    <w:lvl w:ilvl="7" w:tplc="04090019">
      <w:start w:val="1"/>
      <w:numFmt w:val="lowerLetter"/>
      <w:lvlRestart w:val="0"/>
      <w:lvlText w:val="%8."/>
      <w:lvlJc w:val="left"/>
      <w:pPr>
        <w:ind w:left="5670" w:hanging="360"/>
      </w:pPr>
    </w:lvl>
    <w:lvl w:ilvl="8" w:tplc="0409001B">
      <w:start w:val="1"/>
      <w:numFmt w:val="lowerRoman"/>
      <w:lvlRestart w:val="0"/>
      <w:lvlText w:val="%9."/>
      <w:lvlJc w:val="right"/>
      <w:pPr>
        <w:ind w:left="6390" w:hanging="180"/>
      </w:pPr>
    </w:lvl>
  </w:abstractNum>
  <w:abstractNum w:abstractNumId="24">
    <w:nsid w:val="00000019"/>
    <w:multiLevelType w:val="hybridMultilevel"/>
    <w:tmpl w:val="4D3A1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0000001A"/>
    <w:multiLevelType w:val="hybridMultilevel"/>
    <w:tmpl w:val="76065C5E"/>
    <w:lvl w:ilvl="0" w:tplc="5244573E">
      <w:start w:val="1"/>
      <w:numFmt w:val="lowerLetter"/>
      <w:lvlText w:val="%1."/>
      <w:lvlJc w:val="left"/>
      <w:pPr>
        <w:ind w:left="2520" w:hanging="360"/>
      </w:pPr>
      <w:rPr>
        <w:rFonts w:ascii="Times New Roman" w:eastAsia="Calibri" w:hAnsi="Times New Roman" w:cs="Times New Roman"/>
      </w:rPr>
    </w:lvl>
    <w:lvl w:ilvl="1" w:tplc="04210003">
      <w:start w:val="1"/>
      <w:numFmt w:val="bullet"/>
      <w:lvlRestart w:val="0"/>
      <w:lvlText w:val="o"/>
      <w:lvlJc w:val="left"/>
      <w:pPr>
        <w:ind w:left="3240" w:hanging="360"/>
      </w:pPr>
      <w:rPr>
        <w:rFonts w:ascii="Courier New" w:hAnsi="Courier New" w:hint="default"/>
      </w:rPr>
    </w:lvl>
    <w:lvl w:ilvl="2" w:tplc="04210005">
      <w:start w:val="1"/>
      <w:numFmt w:val="bullet"/>
      <w:lvlRestart w:val="0"/>
      <w:lvlText w:val=""/>
      <w:lvlJc w:val="left"/>
      <w:pPr>
        <w:ind w:left="3960" w:hanging="360"/>
      </w:pPr>
      <w:rPr>
        <w:rFonts w:ascii="Wingdings" w:hAnsi="Wingdings" w:hint="default"/>
      </w:rPr>
    </w:lvl>
    <w:lvl w:ilvl="3" w:tplc="04210001">
      <w:start w:val="1"/>
      <w:numFmt w:val="bullet"/>
      <w:lvlRestart w:val="0"/>
      <w:lvlText w:val=""/>
      <w:lvlJc w:val="left"/>
      <w:pPr>
        <w:ind w:left="4680" w:hanging="360"/>
      </w:pPr>
      <w:rPr>
        <w:rFonts w:ascii="Symbol" w:hAnsi="Symbol" w:hint="default"/>
      </w:rPr>
    </w:lvl>
    <w:lvl w:ilvl="4" w:tplc="04210003">
      <w:start w:val="1"/>
      <w:numFmt w:val="bullet"/>
      <w:lvlRestart w:val="0"/>
      <w:lvlText w:val="o"/>
      <w:lvlJc w:val="left"/>
      <w:pPr>
        <w:ind w:left="5400" w:hanging="360"/>
      </w:pPr>
      <w:rPr>
        <w:rFonts w:ascii="Courier New" w:hAnsi="Courier New" w:hint="default"/>
      </w:rPr>
    </w:lvl>
    <w:lvl w:ilvl="5" w:tplc="04210005">
      <w:start w:val="1"/>
      <w:numFmt w:val="bullet"/>
      <w:lvlRestart w:val="0"/>
      <w:lvlText w:val=""/>
      <w:lvlJc w:val="left"/>
      <w:pPr>
        <w:ind w:left="6120" w:hanging="360"/>
      </w:pPr>
      <w:rPr>
        <w:rFonts w:ascii="Wingdings" w:hAnsi="Wingdings" w:hint="default"/>
      </w:rPr>
    </w:lvl>
    <w:lvl w:ilvl="6" w:tplc="04210001">
      <w:start w:val="1"/>
      <w:numFmt w:val="bullet"/>
      <w:lvlRestart w:val="0"/>
      <w:lvlText w:val=""/>
      <w:lvlJc w:val="left"/>
      <w:pPr>
        <w:ind w:left="6840" w:hanging="360"/>
      </w:pPr>
      <w:rPr>
        <w:rFonts w:ascii="Symbol" w:hAnsi="Symbol" w:hint="default"/>
      </w:rPr>
    </w:lvl>
    <w:lvl w:ilvl="7" w:tplc="04210003">
      <w:start w:val="1"/>
      <w:numFmt w:val="bullet"/>
      <w:lvlRestart w:val="0"/>
      <w:lvlText w:val="o"/>
      <w:lvlJc w:val="left"/>
      <w:pPr>
        <w:ind w:left="7560" w:hanging="360"/>
      </w:pPr>
      <w:rPr>
        <w:rFonts w:ascii="Courier New" w:hAnsi="Courier New" w:hint="default"/>
      </w:rPr>
    </w:lvl>
    <w:lvl w:ilvl="8" w:tplc="04210005">
      <w:start w:val="1"/>
      <w:numFmt w:val="bullet"/>
      <w:lvlRestart w:val="0"/>
      <w:lvlText w:val=""/>
      <w:lvlJc w:val="left"/>
      <w:pPr>
        <w:ind w:left="8280" w:hanging="360"/>
      </w:pPr>
      <w:rPr>
        <w:rFonts w:ascii="Wingdings" w:hAnsi="Wingdings" w:hint="default"/>
      </w:rPr>
    </w:lvl>
  </w:abstractNum>
  <w:abstractNum w:abstractNumId="26">
    <w:nsid w:val="0000001B"/>
    <w:multiLevelType w:val="hybridMultilevel"/>
    <w:tmpl w:val="A412C06A"/>
    <w:lvl w:ilvl="0" w:tplc="45EAA652">
      <w:start w:val="1"/>
      <w:numFmt w:val="lowerLetter"/>
      <w:lvlText w:val="%1."/>
      <w:lvlJc w:val="left"/>
      <w:pPr>
        <w:ind w:left="1080" w:hanging="360"/>
      </w:pPr>
      <w:rPr>
        <w:rFonts w:hint="default"/>
        <w:b w:val="0"/>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27">
    <w:nsid w:val="0000001C"/>
    <w:multiLevelType w:val="hybridMultilevel"/>
    <w:tmpl w:val="6A56DC10"/>
    <w:lvl w:ilvl="0" w:tplc="D10EA1A0">
      <w:start w:val="1"/>
      <w:numFmt w:val="lowerLetter"/>
      <w:lvlText w:val="%1)"/>
      <w:lvlJc w:val="left"/>
      <w:pPr>
        <w:ind w:left="1440" w:hanging="360"/>
      </w:pPr>
      <w:rPr>
        <w:rFonts w:hint="default"/>
        <w:b w:val="0"/>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8">
    <w:nsid w:val="00EE596C"/>
    <w:multiLevelType w:val="hybridMultilevel"/>
    <w:tmpl w:val="ECDC3B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E7D7B01"/>
    <w:multiLevelType w:val="hybridMultilevel"/>
    <w:tmpl w:val="6B60A7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FFF408F"/>
    <w:multiLevelType w:val="hybridMultilevel"/>
    <w:tmpl w:val="1D0E14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4120513"/>
    <w:multiLevelType w:val="hybridMultilevel"/>
    <w:tmpl w:val="C994ADB8"/>
    <w:lvl w:ilvl="0" w:tplc="9BA8FA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28550F50"/>
    <w:multiLevelType w:val="hybridMultilevel"/>
    <w:tmpl w:val="29A4BE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B522574"/>
    <w:multiLevelType w:val="hybridMultilevel"/>
    <w:tmpl w:val="CB96AE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9913D24"/>
    <w:multiLevelType w:val="hybridMultilevel"/>
    <w:tmpl w:val="C64496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EB576B6"/>
    <w:multiLevelType w:val="multilevel"/>
    <w:tmpl w:val="F8C8A6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62829F6"/>
    <w:multiLevelType w:val="hybridMultilevel"/>
    <w:tmpl w:val="D2A82E6E"/>
    <w:lvl w:ilvl="0" w:tplc="BDE8ECF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D451207"/>
    <w:multiLevelType w:val="hybridMultilevel"/>
    <w:tmpl w:val="316425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EAB490D"/>
    <w:multiLevelType w:val="hybridMultilevel"/>
    <w:tmpl w:val="C49C1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ECC1D57"/>
    <w:multiLevelType w:val="multilevel"/>
    <w:tmpl w:val="9E3E3FF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29605DD"/>
    <w:multiLevelType w:val="hybridMultilevel"/>
    <w:tmpl w:val="173A8738"/>
    <w:lvl w:ilvl="0" w:tplc="80B893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4DB2908"/>
    <w:multiLevelType w:val="hybridMultilevel"/>
    <w:tmpl w:val="BEF671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96957E4"/>
    <w:multiLevelType w:val="multilevel"/>
    <w:tmpl w:val="767A82A8"/>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3">
    <w:nsid w:val="6D407140"/>
    <w:multiLevelType w:val="hybridMultilevel"/>
    <w:tmpl w:val="084CBED2"/>
    <w:lvl w:ilvl="0" w:tplc="F620E7CA">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574EDB"/>
    <w:multiLevelType w:val="hybridMultilevel"/>
    <w:tmpl w:val="90F6C622"/>
    <w:lvl w:ilvl="0" w:tplc="6C8246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5F17CED"/>
    <w:multiLevelType w:val="hybridMultilevel"/>
    <w:tmpl w:val="DAB83F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74447B5"/>
    <w:multiLevelType w:val="multilevel"/>
    <w:tmpl w:val="E914420E"/>
    <w:lvl w:ilvl="0">
      <w:start w:val="1"/>
      <w:numFmt w:val="decimal"/>
      <w:lvlText w:val="%1."/>
      <w:lvlJc w:val="left"/>
      <w:pPr>
        <w:ind w:left="720" w:hanging="360"/>
      </w:pPr>
      <w:rPr>
        <w:rFonts w:ascii="Times New Roman" w:eastAsia="Calibri" w:hAnsi="Times New Roman" w:cs="Times New Roman"/>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A030744"/>
    <w:multiLevelType w:val="hybridMultilevel"/>
    <w:tmpl w:val="19C05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C620599"/>
    <w:multiLevelType w:val="hybridMultilevel"/>
    <w:tmpl w:val="C7605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D9102E9"/>
    <w:multiLevelType w:val="multilevel"/>
    <w:tmpl w:val="B9F0D906"/>
    <w:lvl w:ilvl="0">
      <w:start w:val="1"/>
      <w:numFmt w:val="lowerLetter"/>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22"/>
  </w:num>
  <w:num w:numId="3">
    <w:abstractNumId w:val="26"/>
  </w:num>
  <w:num w:numId="4">
    <w:abstractNumId w:val="9"/>
  </w:num>
  <w:num w:numId="5">
    <w:abstractNumId w:val="23"/>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5"/>
  </w:num>
  <w:num w:numId="11">
    <w:abstractNumId w:val="21"/>
  </w:num>
  <w:num w:numId="12">
    <w:abstractNumId w:val="1"/>
  </w:num>
  <w:num w:numId="13">
    <w:abstractNumId w:val="4"/>
  </w:num>
  <w:num w:numId="14">
    <w:abstractNumId w:val="12"/>
  </w:num>
  <w:num w:numId="15">
    <w:abstractNumId w:val="5"/>
  </w:num>
  <w:num w:numId="16">
    <w:abstractNumId w:val="8"/>
  </w:num>
  <w:num w:numId="17">
    <w:abstractNumId w:val="14"/>
  </w:num>
  <w:num w:numId="18">
    <w:abstractNumId w:val="3"/>
  </w:num>
  <w:num w:numId="19">
    <w:abstractNumId w:val="15"/>
  </w:num>
  <w:num w:numId="20">
    <w:abstractNumId w:val="19"/>
  </w:num>
  <w:num w:numId="21">
    <w:abstractNumId w:val="11"/>
  </w:num>
  <w:num w:numId="22">
    <w:abstractNumId w:val="0"/>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43"/>
  </w:num>
  <w:num w:numId="30">
    <w:abstractNumId w:val="35"/>
  </w:num>
  <w:num w:numId="31">
    <w:abstractNumId w:val="33"/>
  </w:num>
  <w:num w:numId="32">
    <w:abstractNumId w:val="32"/>
  </w:num>
  <w:num w:numId="33">
    <w:abstractNumId w:val="34"/>
  </w:num>
  <w:num w:numId="34">
    <w:abstractNumId w:val="30"/>
  </w:num>
  <w:num w:numId="35">
    <w:abstractNumId w:val="37"/>
  </w:num>
  <w:num w:numId="36">
    <w:abstractNumId w:val="46"/>
  </w:num>
  <w:num w:numId="37">
    <w:abstractNumId w:val="39"/>
  </w:num>
  <w:num w:numId="38">
    <w:abstractNumId w:val="42"/>
  </w:num>
  <w:num w:numId="39">
    <w:abstractNumId w:val="41"/>
  </w:num>
  <w:num w:numId="40">
    <w:abstractNumId w:val="36"/>
  </w:num>
  <w:num w:numId="41">
    <w:abstractNumId w:val="29"/>
  </w:num>
  <w:num w:numId="42">
    <w:abstractNumId w:val="49"/>
  </w:num>
  <w:num w:numId="43">
    <w:abstractNumId w:val="47"/>
  </w:num>
  <w:num w:numId="44">
    <w:abstractNumId w:val="45"/>
  </w:num>
  <w:num w:numId="45">
    <w:abstractNumId w:val="38"/>
  </w:num>
  <w:num w:numId="46">
    <w:abstractNumId w:val="48"/>
  </w:num>
  <w:num w:numId="47">
    <w:abstractNumId w:val="31"/>
  </w:num>
  <w:num w:numId="48">
    <w:abstractNumId w:val="28"/>
  </w:num>
  <w:num w:numId="49">
    <w:abstractNumId w:val="44"/>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oNotShadeFormData/>
  <w:characterSpacingControl w:val="doNotCompress"/>
  <w:doNotValidateAgainstSchema/>
  <w:doNotDemarcateInvalidXml/>
  <w:hdrShapeDefaults>
    <o:shapedefaults v:ext="edit" spidmax="28674"/>
  </w:hdrShapeDefaults>
  <w:footnotePr>
    <w:footnote w:id="0"/>
    <w:footnote w:id="1"/>
  </w:footnotePr>
  <w:endnotePr>
    <w:endnote w:id="0"/>
    <w:endnote w:id="1"/>
  </w:endnotePr>
  <w:compat/>
  <w:rsids>
    <w:rsidRoot w:val="00172A27"/>
    <w:rsid w:val="000008CE"/>
    <w:rsid w:val="00007BF5"/>
    <w:rsid w:val="0001499F"/>
    <w:rsid w:val="0002267A"/>
    <w:rsid w:val="0002418C"/>
    <w:rsid w:val="00074B3B"/>
    <w:rsid w:val="00077E33"/>
    <w:rsid w:val="0009316C"/>
    <w:rsid w:val="000B703C"/>
    <w:rsid w:val="000D7E90"/>
    <w:rsid w:val="000F6FE6"/>
    <w:rsid w:val="001342EE"/>
    <w:rsid w:val="00172A27"/>
    <w:rsid w:val="00197D88"/>
    <w:rsid w:val="001A2033"/>
    <w:rsid w:val="001A3DBF"/>
    <w:rsid w:val="001B5B83"/>
    <w:rsid w:val="001B6227"/>
    <w:rsid w:val="001C47D0"/>
    <w:rsid w:val="001C600E"/>
    <w:rsid w:val="001D77BB"/>
    <w:rsid w:val="001E03FF"/>
    <w:rsid w:val="0028259A"/>
    <w:rsid w:val="00297B0B"/>
    <w:rsid w:val="002A0151"/>
    <w:rsid w:val="002D1CBC"/>
    <w:rsid w:val="00300DBA"/>
    <w:rsid w:val="0032179B"/>
    <w:rsid w:val="00332BB7"/>
    <w:rsid w:val="003341F9"/>
    <w:rsid w:val="00341267"/>
    <w:rsid w:val="00354944"/>
    <w:rsid w:val="00354F12"/>
    <w:rsid w:val="003A07F5"/>
    <w:rsid w:val="003C25C1"/>
    <w:rsid w:val="003F6D87"/>
    <w:rsid w:val="003F7EF5"/>
    <w:rsid w:val="004017BB"/>
    <w:rsid w:val="004017F6"/>
    <w:rsid w:val="00406653"/>
    <w:rsid w:val="00410637"/>
    <w:rsid w:val="004A2AE3"/>
    <w:rsid w:val="004A6D5B"/>
    <w:rsid w:val="004B2562"/>
    <w:rsid w:val="004B544B"/>
    <w:rsid w:val="004B6C5C"/>
    <w:rsid w:val="004D3880"/>
    <w:rsid w:val="004E37FD"/>
    <w:rsid w:val="004F4B4E"/>
    <w:rsid w:val="00507958"/>
    <w:rsid w:val="00511B63"/>
    <w:rsid w:val="00524030"/>
    <w:rsid w:val="0054145A"/>
    <w:rsid w:val="00544747"/>
    <w:rsid w:val="00556AA3"/>
    <w:rsid w:val="00560223"/>
    <w:rsid w:val="00582EDD"/>
    <w:rsid w:val="00585414"/>
    <w:rsid w:val="00592E22"/>
    <w:rsid w:val="00594F10"/>
    <w:rsid w:val="00595AF2"/>
    <w:rsid w:val="005A043C"/>
    <w:rsid w:val="005C48AA"/>
    <w:rsid w:val="005D607F"/>
    <w:rsid w:val="005F03E2"/>
    <w:rsid w:val="006052FA"/>
    <w:rsid w:val="006308E1"/>
    <w:rsid w:val="0063697F"/>
    <w:rsid w:val="00641764"/>
    <w:rsid w:val="00675DB5"/>
    <w:rsid w:val="00681711"/>
    <w:rsid w:val="006A3A85"/>
    <w:rsid w:val="006B086F"/>
    <w:rsid w:val="006D4E48"/>
    <w:rsid w:val="006D6D16"/>
    <w:rsid w:val="006E6F03"/>
    <w:rsid w:val="006F31B9"/>
    <w:rsid w:val="0073285F"/>
    <w:rsid w:val="007411FF"/>
    <w:rsid w:val="00761751"/>
    <w:rsid w:val="00762003"/>
    <w:rsid w:val="007A3DBD"/>
    <w:rsid w:val="007B1926"/>
    <w:rsid w:val="007B6877"/>
    <w:rsid w:val="007E2137"/>
    <w:rsid w:val="007F1246"/>
    <w:rsid w:val="008067CA"/>
    <w:rsid w:val="00810C78"/>
    <w:rsid w:val="00821CA3"/>
    <w:rsid w:val="00830F4D"/>
    <w:rsid w:val="008311A1"/>
    <w:rsid w:val="00874A0C"/>
    <w:rsid w:val="008A15BA"/>
    <w:rsid w:val="008A5155"/>
    <w:rsid w:val="008C2AB9"/>
    <w:rsid w:val="008C544E"/>
    <w:rsid w:val="008D07D7"/>
    <w:rsid w:val="008F1B0B"/>
    <w:rsid w:val="00927156"/>
    <w:rsid w:val="009309EE"/>
    <w:rsid w:val="00931999"/>
    <w:rsid w:val="00932333"/>
    <w:rsid w:val="00955DD3"/>
    <w:rsid w:val="00963B6E"/>
    <w:rsid w:val="00965210"/>
    <w:rsid w:val="00970D21"/>
    <w:rsid w:val="009711EA"/>
    <w:rsid w:val="009C4284"/>
    <w:rsid w:val="009D0BBD"/>
    <w:rsid w:val="009D7D31"/>
    <w:rsid w:val="009F0656"/>
    <w:rsid w:val="009F24DC"/>
    <w:rsid w:val="00A3073F"/>
    <w:rsid w:val="00A404BC"/>
    <w:rsid w:val="00A45403"/>
    <w:rsid w:val="00A50A9D"/>
    <w:rsid w:val="00AA3088"/>
    <w:rsid w:val="00AA7AE4"/>
    <w:rsid w:val="00AD0A93"/>
    <w:rsid w:val="00AD677A"/>
    <w:rsid w:val="00B02F9E"/>
    <w:rsid w:val="00B26650"/>
    <w:rsid w:val="00B370DB"/>
    <w:rsid w:val="00B558DC"/>
    <w:rsid w:val="00B823CB"/>
    <w:rsid w:val="00B95282"/>
    <w:rsid w:val="00BA194B"/>
    <w:rsid w:val="00BA4297"/>
    <w:rsid w:val="00BB3E1D"/>
    <w:rsid w:val="00BB4D5A"/>
    <w:rsid w:val="00BC7258"/>
    <w:rsid w:val="00BD3C94"/>
    <w:rsid w:val="00BE2156"/>
    <w:rsid w:val="00BF1AC3"/>
    <w:rsid w:val="00C31CA9"/>
    <w:rsid w:val="00C338BF"/>
    <w:rsid w:val="00C37D78"/>
    <w:rsid w:val="00C6538F"/>
    <w:rsid w:val="00C91A3E"/>
    <w:rsid w:val="00CD55F0"/>
    <w:rsid w:val="00CF52B1"/>
    <w:rsid w:val="00D069AE"/>
    <w:rsid w:val="00D23420"/>
    <w:rsid w:val="00D3572B"/>
    <w:rsid w:val="00D63B1A"/>
    <w:rsid w:val="00D772E7"/>
    <w:rsid w:val="00D87773"/>
    <w:rsid w:val="00D96E06"/>
    <w:rsid w:val="00DA294D"/>
    <w:rsid w:val="00DB3505"/>
    <w:rsid w:val="00DB54BC"/>
    <w:rsid w:val="00DB6ECA"/>
    <w:rsid w:val="00DD2F7D"/>
    <w:rsid w:val="00DF62BB"/>
    <w:rsid w:val="00E20953"/>
    <w:rsid w:val="00E23F77"/>
    <w:rsid w:val="00E27B81"/>
    <w:rsid w:val="00E509D3"/>
    <w:rsid w:val="00E81D6D"/>
    <w:rsid w:val="00E81D6F"/>
    <w:rsid w:val="00E9726A"/>
    <w:rsid w:val="00E97781"/>
    <w:rsid w:val="00EA0FFB"/>
    <w:rsid w:val="00EB64E9"/>
    <w:rsid w:val="00ED57C3"/>
    <w:rsid w:val="00EF2ED0"/>
    <w:rsid w:val="00F15715"/>
    <w:rsid w:val="00F23D91"/>
    <w:rsid w:val="00F25932"/>
    <w:rsid w:val="00F9617E"/>
    <w:rsid w:val="00FD5365"/>
    <w:rsid w:val="00FD6332"/>
    <w:rsid w:val="00FF4C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83"/>
    <w:rPr>
      <w:rFonts w:cs="Arial"/>
      <w:lang w:val="en-US" w:eastAsia="en-US"/>
    </w:rPr>
  </w:style>
  <w:style w:type="paragraph" w:styleId="Heading2">
    <w:name w:val="heading 2"/>
    <w:basedOn w:val="Normal"/>
    <w:next w:val="Normal"/>
    <w:link w:val="Heading2Char"/>
    <w:qFormat/>
    <w:rsid w:val="001B5B83"/>
    <w:pPr>
      <w:keepNext/>
      <w:spacing w:before="240" w:after="60" w:line="256"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1B5B83"/>
    <w:rPr>
      <w:rFonts w:ascii="Calibri" w:eastAsia="Calibri" w:hAnsi="Calibri" w:cs="Times New Roman"/>
      <w:sz w:val="22"/>
      <w:szCs w:val="22"/>
    </w:rPr>
  </w:style>
  <w:style w:type="paragraph" w:styleId="Header">
    <w:name w:val="header"/>
    <w:basedOn w:val="Normal"/>
    <w:link w:val="HeaderChar"/>
    <w:rsid w:val="001B5B83"/>
    <w:pPr>
      <w:tabs>
        <w:tab w:val="center" w:pos="4680"/>
        <w:tab w:val="right" w:pos="9360"/>
      </w:tabs>
      <w:spacing w:after="160" w:line="259" w:lineRule="auto"/>
    </w:pPr>
    <w:rPr>
      <w:rFonts w:cs="Times New Roman"/>
      <w:sz w:val="22"/>
      <w:szCs w:val="22"/>
    </w:rPr>
  </w:style>
  <w:style w:type="character" w:customStyle="1" w:styleId="FooterChar">
    <w:name w:val="Footer Char"/>
    <w:link w:val="Footer"/>
    <w:rsid w:val="001B5B83"/>
    <w:rPr>
      <w:rFonts w:ascii="Calibri" w:eastAsia="Calibri" w:hAnsi="Calibri" w:cs="Times New Roman"/>
      <w:sz w:val="22"/>
      <w:szCs w:val="22"/>
    </w:rPr>
  </w:style>
  <w:style w:type="paragraph" w:styleId="Footer">
    <w:name w:val="footer"/>
    <w:basedOn w:val="Normal"/>
    <w:link w:val="FooterChar"/>
    <w:rsid w:val="001B5B83"/>
    <w:pPr>
      <w:tabs>
        <w:tab w:val="center" w:pos="4680"/>
        <w:tab w:val="right" w:pos="9360"/>
      </w:tabs>
      <w:spacing w:after="160" w:line="259" w:lineRule="auto"/>
    </w:pPr>
    <w:rPr>
      <w:rFonts w:cs="Times New Roman"/>
      <w:sz w:val="22"/>
      <w:szCs w:val="22"/>
    </w:rPr>
  </w:style>
  <w:style w:type="character" w:styleId="Hyperlink">
    <w:name w:val="Hyperlink"/>
    <w:rsid w:val="001B5B83"/>
    <w:rPr>
      <w:rFonts w:ascii="Calibri" w:eastAsia="Calibri" w:hAnsi="Calibri" w:cs="Times New Roman"/>
      <w:color w:val="0563C1"/>
      <w:u w:val="single"/>
    </w:rPr>
  </w:style>
  <w:style w:type="character" w:customStyle="1" w:styleId="ListParagraphChar">
    <w:name w:val="List Paragraph Char"/>
    <w:aliases w:val="skripsi Char,Body Text Char1 Char,Char Char2 Char,List Paragraph2 Char,List Paragraph1 Char"/>
    <w:link w:val="ListParagraph"/>
    <w:uiPriority w:val="34"/>
    <w:rsid w:val="001B5B83"/>
    <w:rPr>
      <w:rFonts w:ascii="Calibri" w:eastAsia="Calibri" w:hAnsi="Calibri" w:cs="Times New Roman"/>
      <w:sz w:val="22"/>
      <w:szCs w:val="22"/>
    </w:rPr>
  </w:style>
  <w:style w:type="paragraph" w:styleId="ListParagraph">
    <w:name w:val="List Paragraph"/>
    <w:aliases w:val="skripsi,Body Text Char1,Char Char2,List Paragraph2,List Paragraph1"/>
    <w:basedOn w:val="Normal"/>
    <w:link w:val="ListParagraphChar"/>
    <w:uiPriority w:val="34"/>
    <w:qFormat/>
    <w:rsid w:val="001B5B83"/>
    <w:pPr>
      <w:spacing w:after="160" w:line="259" w:lineRule="auto"/>
      <w:ind w:left="720"/>
      <w:contextualSpacing/>
    </w:pPr>
    <w:rPr>
      <w:rFonts w:cs="Times New Roman"/>
      <w:sz w:val="22"/>
      <w:szCs w:val="22"/>
    </w:rPr>
  </w:style>
  <w:style w:type="character" w:customStyle="1" w:styleId="a">
    <w:name w:val="a"/>
    <w:rsid w:val="001B5B83"/>
    <w:rPr>
      <w:rFonts w:ascii="Calibri" w:eastAsia="Calibri" w:hAnsi="Calibri" w:cs="Times New Roman"/>
    </w:rPr>
  </w:style>
  <w:style w:type="paragraph" w:customStyle="1" w:styleId="Default">
    <w:name w:val="Default"/>
    <w:rsid w:val="001B5B83"/>
    <w:pPr>
      <w:autoSpaceDE w:val="0"/>
      <w:autoSpaceDN w:val="0"/>
      <w:adjustRightInd w:val="0"/>
    </w:pPr>
    <w:rPr>
      <w:rFonts w:ascii="Dante MT" w:hAnsi="Dante MT" w:cs="Dante MT"/>
      <w:color w:val="000000"/>
      <w:sz w:val="24"/>
      <w:szCs w:val="24"/>
      <w:lang w:val="en-US" w:eastAsia="en-US"/>
    </w:rPr>
  </w:style>
  <w:style w:type="character" w:customStyle="1" w:styleId="page-header">
    <w:name w:val="page-header"/>
    <w:rsid w:val="001B5B83"/>
    <w:rPr>
      <w:rFonts w:ascii="Calibri" w:eastAsia="Calibri" w:hAnsi="Calibri" w:cs="Times New Roman"/>
    </w:rPr>
  </w:style>
  <w:style w:type="character" w:customStyle="1" w:styleId="Heading2Char">
    <w:name w:val="Heading 2 Char"/>
    <w:link w:val="Heading2"/>
    <w:rsid w:val="001B5B83"/>
    <w:rPr>
      <w:rFonts w:ascii="Calibri Light" w:eastAsia="Times New Roman" w:hAnsi="Calibri Light" w:cs="Times New Roman"/>
      <w:b/>
      <w:bCs/>
      <w:i/>
      <w:iCs/>
      <w:sz w:val="28"/>
      <w:szCs w:val="28"/>
    </w:rPr>
  </w:style>
  <w:style w:type="character" w:customStyle="1" w:styleId="HTMLPreformattedChar">
    <w:name w:val="HTML Preformatted Char"/>
    <w:link w:val="HTMLPreformatted"/>
    <w:rsid w:val="001B5B83"/>
    <w:rPr>
      <w:rFonts w:ascii="Courier New" w:eastAsia="Times New Roman" w:hAnsi="Courier New" w:cs="Courier New"/>
    </w:rPr>
  </w:style>
  <w:style w:type="paragraph" w:styleId="HTMLPreformatted">
    <w:name w:val="HTML Preformatted"/>
    <w:basedOn w:val="Normal"/>
    <w:link w:val="HTMLPreformattedChar"/>
    <w:rsid w:val="001B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styleId="FollowedHyperlink">
    <w:name w:val="FollowedHyperlink"/>
    <w:rsid w:val="001B5B83"/>
    <w:rPr>
      <w:rFonts w:ascii="Calibri" w:eastAsia="Calibri" w:hAnsi="Calibri" w:cs="Times New Roman"/>
      <w:color w:val="954F72"/>
      <w:u w:val="single"/>
    </w:rPr>
  </w:style>
  <w:style w:type="paragraph" w:customStyle="1" w:styleId="xl65">
    <w:name w:val="xl65"/>
    <w:basedOn w:val="Normal"/>
    <w:rsid w:val="001B5B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Normal"/>
    <w:rsid w:val="001B5B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202124"/>
      <w:sz w:val="16"/>
      <w:szCs w:val="16"/>
    </w:rPr>
  </w:style>
  <w:style w:type="paragraph" w:customStyle="1" w:styleId="xl67">
    <w:name w:val="xl67"/>
    <w:basedOn w:val="Normal"/>
    <w:rsid w:val="001B5B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202124"/>
      <w:sz w:val="16"/>
      <w:szCs w:val="16"/>
    </w:rPr>
  </w:style>
  <w:style w:type="table" w:styleId="TableGrid">
    <w:name w:val="Table Grid"/>
    <w:basedOn w:val="TableNormal"/>
    <w:uiPriority w:val="59"/>
    <w:rsid w:val="001B5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A404BC"/>
  </w:style>
  <w:style w:type="paragraph" w:styleId="BalloonText">
    <w:name w:val="Balloon Text"/>
    <w:basedOn w:val="Normal"/>
    <w:link w:val="BalloonTextChar"/>
    <w:uiPriority w:val="99"/>
    <w:semiHidden/>
    <w:unhideWhenUsed/>
    <w:rsid w:val="00810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78"/>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aw649@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yperlink" Target="http://fe.budiluhur.ac.id/wp-content/uploads/2013/10/5e-JURNAL-5-S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2FD03-E156-4C90-BC20-83507A6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Links>
    <vt:vector size="12" baseType="variant">
      <vt:variant>
        <vt:i4>7864419</vt:i4>
      </vt:variant>
      <vt:variant>
        <vt:i4>3</vt:i4>
      </vt:variant>
      <vt:variant>
        <vt:i4>0</vt:i4>
      </vt:variant>
      <vt:variant>
        <vt:i4>5</vt:i4>
      </vt:variant>
      <vt:variant>
        <vt:lpwstr>https://apjii.or.id/survei</vt:lpwstr>
      </vt:variant>
      <vt:variant>
        <vt:lpwstr/>
      </vt:variant>
      <vt:variant>
        <vt:i4>3997764</vt:i4>
      </vt:variant>
      <vt:variant>
        <vt:i4>0</vt:i4>
      </vt:variant>
      <vt:variant>
        <vt:i4>0</vt:i4>
      </vt:variant>
      <vt:variant>
        <vt:i4>5</vt:i4>
      </vt:variant>
      <vt:variant>
        <vt:lpwstr>mailto:mitaw649@gmail.com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2020-04-09T07:09:00Z</cp:lastPrinted>
  <dcterms:created xsi:type="dcterms:W3CDTF">2020-08-13T07:31:00Z</dcterms:created>
  <dcterms:modified xsi:type="dcterms:W3CDTF">2020-08-13T07:31:00Z</dcterms:modified>
</cp:coreProperties>
</file>