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64" w:rsidRPr="00447F1E" w:rsidRDefault="00C22DFE" w:rsidP="00C22DFE">
      <w:pPr>
        <w:spacing w:line="240" w:lineRule="auto"/>
        <w:jc w:val="center"/>
        <w:rPr>
          <w:rFonts w:ascii="Century" w:hAnsi="Century"/>
          <w:b/>
          <w:sz w:val="32"/>
          <w:szCs w:val="32"/>
        </w:rPr>
      </w:pPr>
      <w:r w:rsidRPr="00447F1E">
        <w:rPr>
          <w:rFonts w:ascii="Century" w:hAnsi="Century"/>
          <w:b/>
          <w:sz w:val="32"/>
          <w:szCs w:val="32"/>
          <w:lang w:val="id-ID"/>
        </w:rPr>
        <w:t>ANALISIS PERBANDINGAN KINERJ ANTARA BANK SYARIAH DAN BANK KONVENSIONAL YANG TERCATAT DI BURSA EFEK INDONESIA</w:t>
      </w:r>
      <w:r w:rsidR="000E1123" w:rsidRPr="00447F1E">
        <w:rPr>
          <w:rFonts w:ascii="Century" w:hAnsi="Century"/>
          <w:sz w:val="32"/>
          <w:szCs w:val="32"/>
        </w:rPr>
        <w:t>(</w:t>
      </w:r>
      <w:r w:rsidR="000E1123" w:rsidRPr="00447F1E">
        <w:rPr>
          <w:rFonts w:ascii="Century" w:hAnsi="Century"/>
          <w:b/>
          <w:sz w:val="32"/>
          <w:szCs w:val="32"/>
          <w:lang w:val="id-ID"/>
        </w:rPr>
        <w:t>S</w:t>
      </w:r>
      <w:r w:rsidR="000E1123" w:rsidRPr="00447F1E">
        <w:rPr>
          <w:rFonts w:ascii="Century" w:hAnsi="Century"/>
          <w:b/>
          <w:sz w:val="32"/>
          <w:szCs w:val="32"/>
        </w:rPr>
        <w:t>tudy</w:t>
      </w:r>
      <w:r w:rsidR="00487F94" w:rsidRPr="00447F1E">
        <w:rPr>
          <w:rFonts w:ascii="Century" w:hAnsi="Century"/>
          <w:b/>
          <w:sz w:val="32"/>
          <w:szCs w:val="32"/>
          <w:lang w:val="id-ID"/>
        </w:rPr>
        <w:t>Kasus Bank Syariah Dan Bank Mandiri</w:t>
      </w:r>
      <w:r w:rsidR="000E1123" w:rsidRPr="00447F1E">
        <w:rPr>
          <w:rFonts w:ascii="Century" w:hAnsi="Century"/>
          <w:b/>
          <w:sz w:val="32"/>
          <w:szCs w:val="32"/>
        </w:rPr>
        <w:t>)</w:t>
      </w:r>
    </w:p>
    <w:p w:rsidR="00C22DFE" w:rsidRPr="00447F1E" w:rsidRDefault="00C22DFE" w:rsidP="00C22DFE">
      <w:pPr>
        <w:spacing w:line="240" w:lineRule="auto"/>
        <w:jc w:val="center"/>
        <w:rPr>
          <w:rFonts w:ascii="Century" w:hAnsi="Century"/>
          <w:sz w:val="32"/>
          <w:szCs w:val="32"/>
        </w:rPr>
      </w:pPr>
    </w:p>
    <w:p w:rsidR="00180A51" w:rsidRPr="00447F1E" w:rsidRDefault="00180A51" w:rsidP="00C22DFE">
      <w:pPr>
        <w:spacing w:line="240" w:lineRule="auto"/>
        <w:jc w:val="center"/>
        <w:rPr>
          <w:rFonts w:ascii="Century" w:hAnsi="Century"/>
          <w:b/>
          <w:i/>
          <w:sz w:val="24"/>
          <w:szCs w:val="24"/>
          <w:lang w:val="id-ID"/>
        </w:rPr>
      </w:pPr>
      <w:r w:rsidRPr="00447F1E">
        <w:rPr>
          <w:rFonts w:ascii="Century" w:hAnsi="Century"/>
          <w:b/>
          <w:i/>
          <w:sz w:val="24"/>
          <w:szCs w:val="24"/>
          <w:lang w:val="id-ID"/>
        </w:rPr>
        <w:t>Analysis Of Financial Performance Between Syariah Banks And Conventional Bank Listed On The Indonesia Stock Excahnge</w:t>
      </w:r>
    </w:p>
    <w:p w:rsidR="00180A51" w:rsidRPr="00447F1E" w:rsidRDefault="00180A51" w:rsidP="00C22DFE">
      <w:pPr>
        <w:spacing w:line="240" w:lineRule="auto"/>
        <w:jc w:val="center"/>
        <w:rPr>
          <w:rFonts w:ascii="Century" w:hAnsi="Century"/>
          <w:b/>
          <w:i/>
          <w:sz w:val="24"/>
          <w:szCs w:val="24"/>
          <w:lang w:val="id-ID"/>
        </w:rPr>
      </w:pPr>
      <w:r w:rsidRPr="00447F1E">
        <w:rPr>
          <w:rFonts w:ascii="Century" w:hAnsi="Century"/>
          <w:b/>
          <w:i/>
          <w:sz w:val="24"/>
          <w:szCs w:val="24"/>
          <w:lang w:val="id-ID"/>
        </w:rPr>
        <w:t>(Case Study Of Syariah Banks And Mandiri Bank)</w:t>
      </w:r>
    </w:p>
    <w:p w:rsidR="00487F94" w:rsidRPr="00447F1E" w:rsidRDefault="00487F94" w:rsidP="00C22DFE">
      <w:pPr>
        <w:spacing w:line="240" w:lineRule="auto"/>
        <w:jc w:val="both"/>
        <w:rPr>
          <w:rFonts w:ascii="Century" w:hAnsi="Century"/>
          <w:b/>
          <w:sz w:val="24"/>
          <w:szCs w:val="24"/>
          <w:lang w:val="id-ID"/>
        </w:rPr>
      </w:pPr>
    </w:p>
    <w:p w:rsidR="00C97164" w:rsidRPr="00447F1E" w:rsidRDefault="00C97164" w:rsidP="00C22DFE">
      <w:pPr>
        <w:autoSpaceDE w:val="0"/>
        <w:autoSpaceDN w:val="0"/>
        <w:adjustRightInd w:val="0"/>
        <w:spacing w:line="240" w:lineRule="auto"/>
        <w:jc w:val="both"/>
        <w:rPr>
          <w:rFonts w:ascii="Century" w:hAnsi="Century" w:cs="Times New Roman"/>
          <w:sz w:val="24"/>
          <w:szCs w:val="24"/>
          <w:lang w:val="id-ID"/>
        </w:rPr>
      </w:pPr>
    </w:p>
    <w:p w:rsidR="002E3531" w:rsidRPr="00447F1E" w:rsidRDefault="00487F94" w:rsidP="00C22DFE">
      <w:pPr>
        <w:autoSpaceDE w:val="0"/>
        <w:autoSpaceDN w:val="0"/>
        <w:adjustRightInd w:val="0"/>
        <w:spacing w:line="240" w:lineRule="auto"/>
        <w:jc w:val="center"/>
        <w:rPr>
          <w:rFonts w:ascii="Century" w:hAnsi="Century" w:cs="Times New Roman"/>
          <w:b/>
          <w:i/>
          <w:szCs w:val="24"/>
          <w:vertAlign w:val="superscript"/>
        </w:rPr>
      </w:pPr>
      <w:r w:rsidRPr="00447F1E">
        <w:rPr>
          <w:rFonts w:ascii="Century" w:hAnsi="Century" w:cs="Times New Roman"/>
          <w:b/>
          <w:szCs w:val="24"/>
          <w:lang w:val="id-ID"/>
        </w:rPr>
        <w:t>Popi Sindi Karina Artha</w:t>
      </w:r>
      <w:r w:rsidR="002E3531" w:rsidRPr="00447F1E">
        <w:rPr>
          <w:rFonts w:ascii="Century" w:hAnsi="Century" w:cs="Times New Roman"/>
          <w:b/>
          <w:i/>
          <w:szCs w:val="24"/>
          <w:vertAlign w:val="superscript"/>
          <w:lang w:val="id-ID"/>
        </w:rPr>
        <w:t>1</w:t>
      </w:r>
      <w:r w:rsidR="005D4823" w:rsidRPr="00447F1E">
        <w:rPr>
          <w:rFonts w:ascii="Century" w:hAnsi="Century" w:cs="Times New Roman"/>
          <w:b/>
          <w:i/>
          <w:szCs w:val="24"/>
        </w:rPr>
        <w:t>, Ratna Handayati</w:t>
      </w:r>
      <w:r w:rsidR="005D4823" w:rsidRPr="00447F1E">
        <w:rPr>
          <w:rFonts w:ascii="Century" w:hAnsi="Century" w:cs="Times New Roman"/>
          <w:b/>
          <w:i/>
          <w:szCs w:val="24"/>
          <w:vertAlign w:val="superscript"/>
        </w:rPr>
        <w:t>2</w:t>
      </w:r>
      <w:r w:rsidR="005D4823" w:rsidRPr="00447F1E">
        <w:rPr>
          <w:rFonts w:ascii="Century" w:hAnsi="Century" w:cs="Times New Roman"/>
          <w:b/>
          <w:i/>
          <w:szCs w:val="24"/>
        </w:rPr>
        <w:t>, Hery Suprapto</w:t>
      </w:r>
      <w:r w:rsidR="005D4823" w:rsidRPr="00447F1E">
        <w:rPr>
          <w:rFonts w:ascii="Century" w:hAnsi="Century" w:cs="Times New Roman"/>
          <w:b/>
          <w:i/>
          <w:szCs w:val="24"/>
          <w:vertAlign w:val="superscript"/>
        </w:rPr>
        <w:t>3</w:t>
      </w:r>
    </w:p>
    <w:p w:rsidR="002E3531" w:rsidRPr="00447F1E" w:rsidRDefault="002E3531" w:rsidP="00C22DFE">
      <w:pPr>
        <w:autoSpaceDE w:val="0"/>
        <w:autoSpaceDN w:val="0"/>
        <w:adjustRightInd w:val="0"/>
        <w:spacing w:line="240" w:lineRule="auto"/>
        <w:jc w:val="center"/>
        <w:rPr>
          <w:rFonts w:ascii="Century" w:hAnsi="Century" w:cs="Times New Roman"/>
          <w:szCs w:val="24"/>
          <w:lang w:val="id-ID"/>
        </w:rPr>
      </w:pPr>
      <w:r w:rsidRPr="00447F1E">
        <w:rPr>
          <w:rFonts w:ascii="Century" w:hAnsi="Century" w:cs="Times New Roman"/>
          <w:szCs w:val="24"/>
          <w:vertAlign w:val="superscript"/>
          <w:lang w:val="id-ID"/>
        </w:rPr>
        <w:t>1</w:t>
      </w:r>
      <w:r w:rsidRPr="00447F1E">
        <w:rPr>
          <w:rFonts w:ascii="Century" w:hAnsi="Century" w:cs="Times New Roman"/>
          <w:szCs w:val="24"/>
          <w:lang w:val="id-ID"/>
        </w:rPr>
        <w:t>Program Studi Manajemen, Fakultas Ekonomi</w:t>
      </w:r>
    </w:p>
    <w:p w:rsidR="002E3531" w:rsidRPr="00447F1E" w:rsidRDefault="002E3531" w:rsidP="00C22DFE">
      <w:pPr>
        <w:autoSpaceDE w:val="0"/>
        <w:autoSpaceDN w:val="0"/>
        <w:adjustRightInd w:val="0"/>
        <w:spacing w:line="240" w:lineRule="auto"/>
        <w:jc w:val="center"/>
        <w:rPr>
          <w:rFonts w:ascii="Century" w:hAnsi="Century" w:cs="Times New Roman"/>
          <w:szCs w:val="24"/>
          <w:lang w:val="id-ID"/>
        </w:rPr>
      </w:pPr>
      <w:r w:rsidRPr="00447F1E">
        <w:rPr>
          <w:rFonts w:ascii="Century" w:hAnsi="Century" w:cs="Times New Roman"/>
          <w:szCs w:val="24"/>
          <w:lang w:val="id-ID"/>
        </w:rPr>
        <w:t>Universitas Islam Lamongan</w:t>
      </w:r>
    </w:p>
    <w:p w:rsidR="002E3531" w:rsidRPr="00447F1E" w:rsidRDefault="00C22DFE" w:rsidP="00C22DFE">
      <w:pPr>
        <w:autoSpaceDE w:val="0"/>
        <w:autoSpaceDN w:val="0"/>
        <w:adjustRightInd w:val="0"/>
        <w:spacing w:line="240" w:lineRule="auto"/>
        <w:jc w:val="center"/>
        <w:rPr>
          <w:rStyle w:val="Hyperlink"/>
          <w:rFonts w:ascii="Century" w:hAnsi="Century" w:cs="Times New Roman"/>
          <w:color w:val="auto"/>
          <w:szCs w:val="24"/>
        </w:rPr>
      </w:pPr>
      <w:r w:rsidRPr="00447F1E">
        <w:rPr>
          <w:rFonts w:ascii="Century" w:hAnsi="Century"/>
        </w:rPr>
        <w:t xml:space="preserve">Email: </w:t>
      </w:r>
      <w:hyperlink r:id="rId8" w:history="1">
        <w:r w:rsidR="00487F94" w:rsidRPr="00447F1E">
          <w:rPr>
            <w:rStyle w:val="Hyperlink"/>
            <w:rFonts w:ascii="Century" w:hAnsi="Century" w:cs="Times New Roman"/>
            <w:color w:val="auto"/>
            <w:szCs w:val="24"/>
            <w:lang w:val="id-ID"/>
          </w:rPr>
          <w:t>sindikarina4@gmail.com</w:t>
        </w:r>
      </w:hyperlink>
    </w:p>
    <w:p w:rsidR="00C22DFE" w:rsidRPr="00447F1E" w:rsidRDefault="00C22DFE" w:rsidP="00C22DFE">
      <w:pPr>
        <w:jc w:val="center"/>
        <w:rPr>
          <w:rFonts w:ascii="Century" w:hAnsi="Century"/>
          <w:b/>
          <w:i/>
          <w:color w:val="000000"/>
          <w:sz w:val="24"/>
          <w:szCs w:val="24"/>
        </w:rPr>
      </w:pPr>
      <w:r w:rsidRPr="00447F1E">
        <w:rPr>
          <w:rFonts w:ascii="Century" w:hAnsi="Century"/>
          <w:b/>
          <w:color w:val="000000"/>
          <w:sz w:val="24"/>
          <w:szCs w:val="24"/>
        </w:rPr>
        <w:t>*</w:t>
      </w:r>
      <w:r w:rsidRPr="00447F1E">
        <w:rPr>
          <w:rFonts w:ascii="Century" w:hAnsi="Century"/>
          <w:b/>
          <w:i/>
          <w:color w:val="000000"/>
          <w:sz w:val="24"/>
          <w:szCs w:val="24"/>
        </w:rPr>
        <w:t>Correspondence</w:t>
      </w:r>
    </w:p>
    <w:p w:rsidR="0041735B" w:rsidRPr="00447F1E" w:rsidRDefault="0041735B" w:rsidP="00C22DFE">
      <w:pPr>
        <w:shd w:val="clear" w:color="auto" w:fill="FFFFFF"/>
        <w:spacing w:before="80" w:after="80" w:line="240" w:lineRule="auto"/>
        <w:ind w:left="10"/>
        <w:jc w:val="center"/>
        <w:rPr>
          <w:rFonts w:ascii="Century" w:hAnsi="Century"/>
          <w:smallCaps/>
          <w:color w:val="000000"/>
          <w:sz w:val="24"/>
          <w:szCs w:val="24"/>
          <w:vertAlign w:val="superscript"/>
          <w:lang w:val="id-ID"/>
        </w:rPr>
      </w:pPr>
    </w:p>
    <w:tbl>
      <w:tblPr>
        <w:tblW w:w="0" w:type="auto"/>
        <w:tblInd w:w="10" w:type="dxa"/>
        <w:tblLayout w:type="fixed"/>
        <w:tblLook w:val="04A0"/>
      </w:tblPr>
      <w:tblGrid>
        <w:gridCol w:w="2508"/>
        <w:gridCol w:w="236"/>
        <w:gridCol w:w="5292"/>
      </w:tblGrid>
      <w:tr w:rsidR="0041735B" w:rsidRPr="00447F1E" w:rsidTr="00C22DFE">
        <w:tc>
          <w:tcPr>
            <w:tcW w:w="2508" w:type="dxa"/>
            <w:tcBorders>
              <w:top w:val="double" w:sz="6" w:space="0" w:color="auto"/>
            </w:tcBorders>
            <w:shd w:val="clear" w:color="auto" w:fill="auto"/>
          </w:tcPr>
          <w:p w:rsidR="0041735B" w:rsidRPr="00447F1E" w:rsidRDefault="00C22DFE" w:rsidP="00C22DFE">
            <w:pPr>
              <w:spacing w:before="80" w:after="80" w:line="240" w:lineRule="auto"/>
              <w:jc w:val="both"/>
              <w:rPr>
                <w:rFonts w:ascii="Century" w:hAnsi="Century"/>
                <w:b/>
              </w:rPr>
            </w:pPr>
            <w:r w:rsidRPr="00447F1E">
              <w:rPr>
                <w:rFonts w:ascii="Century" w:hAnsi="Century"/>
                <w:b/>
              </w:rPr>
              <w:t>Website:</w:t>
            </w:r>
          </w:p>
        </w:tc>
        <w:tc>
          <w:tcPr>
            <w:tcW w:w="236" w:type="dxa"/>
            <w:tcBorders>
              <w:top w:val="double" w:sz="6" w:space="0" w:color="auto"/>
            </w:tcBorders>
            <w:shd w:val="clear" w:color="auto" w:fill="auto"/>
          </w:tcPr>
          <w:p w:rsidR="0041735B" w:rsidRPr="00447F1E" w:rsidRDefault="0041735B" w:rsidP="00C22DFE">
            <w:pPr>
              <w:spacing w:before="80" w:after="80" w:line="240" w:lineRule="auto"/>
              <w:jc w:val="both"/>
              <w:rPr>
                <w:rFonts w:ascii="Century" w:hAnsi="Century"/>
                <w:b/>
              </w:rPr>
            </w:pPr>
          </w:p>
        </w:tc>
        <w:tc>
          <w:tcPr>
            <w:tcW w:w="5292" w:type="dxa"/>
            <w:tcBorders>
              <w:top w:val="double" w:sz="6" w:space="0" w:color="auto"/>
              <w:bottom w:val="single" w:sz="4" w:space="0" w:color="auto"/>
            </w:tcBorders>
            <w:shd w:val="clear" w:color="auto" w:fill="auto"/>
          </w:tcPr>
          <w:p w:rsidR="0041735B" w:rsidRPr="00447F1E" w:rsidRDefault="0041735B" w:rsidP="00C22DFE">
            <w:pPr>
              <w:spacing w:before="80" w:after="80" w:line="240" w:lineRule="auto"/>
              <w:jc w:val="both"/>
              <w:rPr>
                <w:rFonts w:ascii="Century" w:hAnsi="Century"/>
                <w:b/>
              </w:rPr>
            </w:pPr>
            <w:r w:rsidRPr="00447F1E">
              <w:rPr>
                <w:rFonts w:ascii="Century" w:hAnsi="Century"/>
                <w:b/>
              </w:rPr>
              <w:t>Abstrak</w:t>
            </w:r>
          </w:p>
        </w:tc>
      </w:tr>
      <w:tr w:rsidR="0041735B" w:rsidRPr="00447F1E" w:rsidTr="00C22DFE">
        <w:tc>
          <w:tcPr>
            <w:tcW w:w="2508" w:type="dxa"/>
            <w:shd w:val="clear" w:color="auto" w:fill="auto"/>
          </w:tcPr>
          <w:p w:rsidR="0041735B" w:rsidRPr="00447F1E" w:rsidRDefault="00C22DFE" w:rsidP="00C22DFE">
            <w:pPr>
              <w:spacing w:before="80" w:after="80" w:line="240" w:lineRule="auto"/>
              <w:jc w:val="both"/>
              <w:rPr>
                <w:rFonts w:ascii="Century" w:hAnsi="Century"/>
              </w:rPr>
            </w:pPr>
            <w:r w:rsidRPr="00447F1E">
              <w:rPr>
                <w:rFonts w:ascii="Century" w:hAnsi="Century"/>
              </w:rPr>
              <w:t>https://jurnalekonomi.unisla.ac.id/index.php/jekma</w:t>
            </w:r>
          </w:p>
        </w:tc>
        <w:tc>
          <w:tcPr>
            <w:tcW w:w="236" w:type="dxa"/>
            <w:shd w:val="clear" w:color="auto" w:fill="auto"/>
          </w:tcPr>
          <w:p w:rsidR="0041735B" w:rsidRPr="00447F1E" w:rsidRDefault="0041735B" w:rsidP="00C22DFE">
            <w:pPr>
              <w:spacing w:before="80" w:after="80" w:line="240" w:lineRule="auto"/>
              <w:jc w:val="both"/>
              <w:rPr>
                <w:rFonts w:ascii="Century" w:hAnsi="Century"/>
                <w:lang w:val="id-ID"/>
              </w:rPr>
            </w:pPr>
          </w:p>
        </w:tc>
        <w:tc>
          <w:tcPr>
            <w:tcW w:w="5292" w:type="dxa"/>
            <w:vMerge w:val="restart"/>
            <w:shd w:val="clear" w:color="auto" w:fill="auto"/>
          </w:tcPr>
          <w:p w:rsidR="00C1547F" w:rsidRPr="00447F1E" w:rsidRDefault="00EE4062" w:rsidP="00C22DFE">
            <w:pPr>
              <w:spacing w:line="240" w:lineRule="auto"/>
              <w:jc w:val="both"/>
              <w:rPr>
                <w:rFonts w:ascii="Century" w:hAnsi="Century" w:cstheme="majorBidi"/>
              </w:rPr>
            </w:pPr>
            <w:r w:rsidRPr="00447F1E">
              <w:rPr>
                <w:rFonts w:ascii="Century" w:hAnsi="Century" w:cstheme="majorBidi"/>
              </w:rPr>
              <w:t xml:space="preserve">Penelitian ini bertujuan untuk menganalisis perbandingan kinerja keuangan Bank Syariah dan Bank Konvensional berdasarkan rasio keuangan dan mengetahui perbedaan yang signifikan antara kinerja keuangan Bank Syariah dan Bank Konvensional. Jenis penelitian yang digunakan adalah kuantitatif. Data yang digunakan berupa data bank yang mempublikasikan laporan keuangan tahunan yaitu PT Bank Syariah </w:t>
            </w:r>
            <w:r w:rsidRPr="00447F1E">
              <w:rPr>
                <w:rFonts w:ascii="Century" w:hAnsi="Century"/>
              </w:rPr>
              <w:t>Mandiri</w:t>
            </w:r>
            <w:r w:rsidRPr="00447F1E">
              <w:rPr>
                <w:rFonts w:ascii="Century" w:hAnsi="Century" w:cstheme="majorBidi"/>
              </w:rPr>
              <w:t xml:space="preserve"> dan PT Bank Mandiri dari tahun 2016 – 2018, Hasil penelitian ini menjelaskan bahwa berdasarkan hasil mean dari masing- masing rasio, menunjukkan bahwa kinerja Bank Syariah berdasarkan rasio CAR dan NPL lebih baik dibandingkan Bank Konvensional. Kinerja keuangan Bank Konvensional berdasarkan rasio ROA lebih baik dibandingkan Bank Syariah, sedangkan berdasarkan rasio ROE Bank Konvensional dan Bank Syariah mempunyai kinerja sama baik. Kinerja Bank Syariah dan kinerja Bank Konvensional berdasarkan hasil uji one sample t-test Bank Syariah dan Bank Konvensional  berdasarkan rasio CAR, ROA, LDR dan ROE  mempunyai kinerja cukup baik, sedangkan  berdasarkan rasio NPL Bank Syariah dan Bank </w:t>
            </w:r>
            <w:r w:rsidRPr="00447F1E">
              <w:rPr>
                <w:rFonts w:ascii="Century" w:hAnsi="Century" w:cstheme="majorBidi"/>
              </w:rPr>
              <w:lastRenderedPageBreak/>
              <w:t xml:space="preserve">Konvensional mempunyai kinerja sama baik. Uji independent sample t-test terdapat perbedaan yang signifikan pada rasio ROA dan NPL pada Bank Syariah dan Bank Konvensional, sedangkan pada rasio CAR, ROE, dan LDR tidak terdapat perbedaan yang signifikan antara kinerja keuangan Bank Konvensional dan Bank Syariah.  </w:t>
            </w:r>
          </w:p>
        </w:tc>
      </w:tr>
      <w:tr w:rsidR="0041735B" w:rsidRPr="00447F1E" w:rsidTr="00C22DFE">
        <w:tc>
          <w:tcPr>
            <w:tcW w:w="2508" w:type="dxa"/>
            <w:shd w:val="clear" w:color="auto" w:fill="auto"/>
          </w:tcPr>
          <w:p w:rsidR="0041735B" w:rsidRPr="00447F1E" w:rsidRDefault="0041735B" w:rsidP="00C22DFE">
            <w:pPr>
              <w:spacing w:before="80" w:after="80" w:line="240" w:lineRule="auto"/>
              <w:jc w:val="both"/>
              <w:rPr>
                <w:rFonts w:ascii="Century" w:hAnsi="Century"/>
              </w:rPr>
            </w:pPr>
          </w:p>
        </w:tc>
        <w:tc>
          <w:tcPr>
            <w:tcW w:w="236" w:type="dxa"/>
            <w:shd w:val="clear" w:color="auto" w:fill="auto"/>
          </w:tcPr>
          <w:p w:rsidR="0041735B" w:rsidRPr="00447F1E" w:rsidRDefault="0041735B" w:rsidP="00C22DFE">
            <w:pPr>
              <w:spacing w:before="80" w:after="80" w:line="240" w:lineRule="auto"/>
              <w:jc w:val="both"/>
              <w:rPr>
                <w:rFonts w:ascii="Century" w:hAnsi="Century"/>
                <w:lang w:val="id-ID"/>
              </w:rPr>
            </w:pPr>
          </w:p>
        </w:tc>
        <w:tc>
          <w:tcPr>
            <w:tcW w:w="5292" w:type="dxa"/>
            <w:vMerge/>
            <w:shd w:val="clear" w:color="auto" w:fill="auto"/>
          </w:tcPr>
          <w:p w:rsidR="0041735B" w:rsidRPr="00447F1E" w:rsidRDefault="0041735B" w:rsidP="00C22DFE">
            <w:pPr>
              <w:spacing w:before="80" w:after="80" w:line="240" w:lineRule="auto"/>
              <w:jc w:val="both"/>
              <w:rPr>
                <w:rFonts w:ascii="Century" w:hAnsi="Century"/>
                <w:lang w:val="id-ID"/>
              </w:rPr>
            </w:pPr>
          </w:p>
        </w:tc>
      </w:tr>
      <w:tr w:rsidR="0041735B" w:rsidRPr="00447F1E" w:rsidTr="00C22DFE">
        <w:tc>
          <w:tcPr>
            <w:tcW w:w="2508" w:type="dxa"/>
            <w:shd w:val="clear" w:color="auto" w:fill="auto"/>
          </w:tcPr>
          <w:p w:rsidR="0041735B" w:rsidRPr="00447F1E" w:rsidRDefault="0041735B" w:rsidP="00C22DFE">
            <w:pPr>
              <w:spacing w:before="80" w:after="80" w:line="240" w:lineRule="auto"/>
              <w:jc w:val="both"/>
              <w:rPr>
                <w:rFonts w:ascii="Century" w:hAnsi="Century"/>
              </w:rPr>
            </w:pPr>
          </w:p>
        </w:tc>
        <w:tc>
          <w:tcPr>
            <w:tcW w:w="236" w:type="dxa"/>
            <w:shd w:val="clear" w:color="auto" w:fill="auto"/>
          </w:tcPr>
          <w:p w:rsidR="0041735B" w:rsidRPr="00447F1E" w:rsidRDefault="0041735B" w:rsidP="00C22DFE">
            <w:pPr>
              <w:spacing w:before="80" w:after="80" w:line="240" w:lineRule="auto"/>
              <w:jc w:val="both"/>
              <w:rPr>
                <w:rFonts w:ascii="Century" w:hAnsi="Century"/>
                <w:lang w:val="id-ID"/>
              </w:rPr>
            </w:pPr>
          </w:p>
        </w:tc>
        <w:tc>
          <w:tcPr>
            <w:tcW w:w="5292" w:type="dxa"/>
            <w:vMerge/>
            <w:shd w:val="clear" w:color="auto" w:fill="auto"/>
          </w:tcPr>
          <w:p w:rsidR="0041735B" w:rsidRPr="00447F1E" w:rsidRDefault="0041735B" w:rsidP="00C22DFE">
            <w:pPr>
              <w:spacing w:before="80" w:after="80" w:line="240" w:lineRule="auto"/>
              <w:jc w:val="both"/>
              <w:rPr>
                <w:rFonts w:ascii="Century" w:hAnsi="Century"/>
                <w:lang w:val="id-ID"/>
              </w:rPr>
            </w:pPr>
          </w:p>
        </w:tc>
      </w:tr>
      <w:tr w:rsidR="0041735B" w:rsidRPr="00447F1E" w:rsidTr="00C22DFE">
        <w:tc>
          <w:tcPr>
            <w:tcW w:w="2508" w:type="dxa"/>
            <w:tcBorders>
              <w:bottom w:val="single" w:sz="4" w:space="0" w:color="auto"/>
            </w:tcBorders>
            <w:shd w:val="clear" w:color="auto" w:fill="auto"/>
          </w:tcPr>
          <w:p w:rsidR="0041735B" w:rsidRPr="00447F1E" w:rsidRDefault="0041735B" w:rsidP="00C22DFE">
            <w:pPr>
              <w:spacing w:before="80" w:after="80" w:line="240" w:lineRule="auto"/>
              <w:jc w:val="both"/>
              <w:rPr>
                <w:rFonts w:ascii="Century" w:hAnsi="Century"/>
                <w:lang w:val="id-ID"/>
              </w:rPr>
            </w:pPr>
          </w:p>
        </w:tc>
        <w:tc>
          <w:tcPr>
            <w:tcW w:w="236" w:type="dxa"/>
            <w:shd w:val="clear" w:color="auto" w:fill="auto"/>
          </w:tcPr>
          <w:p w:rsidR="0041735B" w:rsidRPr="00447F1E" w:rsidRDefault="0041735B" w:rsidP="00C22DFE">
            <w:pPr>
              <w:spacing w:before="80" w:after="80" w:line="240" w:lineRule="auto"/>
              <w:jc w:val="both"/>
              <w:rPr>
                <w:rFonts w:ascii="Century" w:hAnsi="Century"/>
                <w:lang w:val="id-ID"/>
              </w:rPr>
            </w:pPr>
          </w:p>
        </w:tc>
        <w:tc>
          <w:tcPr>
            <w:tcW w:w="5292" w:type="dxa"/>
            <w:vMerge/>
            <w:shd w:val="clear" w:color="auto" w:fill="auto"/>
          </w:tcPr>
          <w:p w:rsidR="0041735B" w:rsidRPr="00447F1E" w:rsidRDefault="0041735B" w:rsidP="00C22DFE">
            <w:pPr>
              <w:spacing w:before="80" w:after="80" w:line="240" w:lineRule="auto"/>
              <w:jc w:val="both"/>
              <w:rPr>
                <w:rFonts w:ascii="Century" w:hAnsi="Century"/>
                <w:lang w:val="id-ID"/>
              </w:rPr>
            </w:pPr>
          </w:p>
        </w:tc>
      </w:tr>
      <w:tr w:rsidR="0041735B" w:rsidRPr="00447F1E" w:rsidTr="00C22DFE">
        <w:trPr>
          <w:trHeight w:val="504"/>
        </w:trPr>
        <w:tc>
          <w:tcPr>
            <w:tcW w:w="2508" w:type="dxa"/>
            <w:tcBorders>
              <w:top w:val="single" w:sz="4" w:space="0" w:color="auto"/>
            </w:tcBorders>
            <w:shd w:val="clear" w:color="auto" w:fill="auto"/>
            <w:vAlign w:val="center"/>
          </w:tcPr>
          <w:p w:rsidR="0041735B" w:rsidRPr="00447F1E" w:rsidRDefault="0041735B" w:rsidP="00C22DFE">
            <w:pPr>
              <w:spacing w:before="80" w:after="80" w:line="240" w:lineRule="auto"/>
              <w:jc w:val="both"/>
              <w:rPr>
                <w:rFonts w:ascii="Century" w:hAnsi="Century"/>
                <w:b/>
              </w:rPr>
            </w:pPr>
            <w:r w:rsidRPr="00447F1E">
              <w:rPr>
                <w:rFonts w:ascii="Century" w:hAnsi="Century"/>
                <w:b/>
              </w:rPr>
              <w:t>Kata Kunci:</w:t>
            </w:r>
          </w:p>
        </w:tc>
        <w:tc>
          <w:tcPr>
            <w:tcW w:w="236" w:type="dxa"/>
            <w:shd w:val="clear" w:color="auto" w:fill="auto"/>
          </w:tcPr>
          <w:p w:rsidR="0041735B" w:rsidRPr="00447F1E" w:rsidRDefault="0041735B" w:rsidP="00C22DFE">
            <w:pPr>
              <w:spacing w:before="80" w:after="80" w:line="240" w:lineRule="auto"/>
              <w:jc w:val="both"/>
              <w:rPr>
                <w:rFonts w:ascii="Century" w:hAnsi="Century"/>
                <w:lang w:val="id-ID"/>
              </w:rPr>
            </w:pPr>
          </w:p>
        </w:tc>
        <w:tc>
          <w:tcPr>
            <w:tcW w:w="5292" w:type="dxa"/>
            <w:vMerge/>
            <w:shd w:val="clear" w:color="auto" w:fill="auto"/>
          </w:tcPr>
          <w:p w:rsidR="0041735B" w:rsidRPr="00447F1E" w:rsidRDefault="0041735B" w:rsidP="00C22DFE">
            <w:pPr>
              <w:spacing w:before="80" w:after="80" w:line="240" w:lineRule="auto"/>
              <w:jc w:val="both"/>
              <w:rPr>
                <w:rFonts w:ascii="Century" w:hAnsi="Century"/>
                <w:lang w:val="id-ID"/>
              </w:rPr>
            </w:pPr>
          </w:p>
        </w:tc>
      </w:tr>
      <w:tr w:rsidR="0041735B" w:rsidRPr="00447F1E" w:rsidTr="00C22DFE">
        <w:tc>
          <w:tcPr>
            <w:tcW w:w="2508" w:type="dxa"/>
            <w:shd w:val="clear" w:color="auto" w:fill="auto"/>
          </w:tcPr>
          <w:p w:rsidR="00EE4062" w:rsidRPr="00447F1E" w:rsidRDefault="00EE4062" w:rsidP="00C22DFE">
            <w:pPr>
              <w:tabs>
                <w:tab w:val="left" w:pos="567"/>
              </w:tabs>
              <w:spacing w:line="240" w:lineRule="auto"/>
              <w:jc w:val="both"/>
              <w:rPr>
                <w:rFonts w:ascii="Century" w:hAnsi="Century" w:cstheme="majorBidi"/>
                <w:i/>
                <w:iCs/>
                <w:sz w:val="24"/>
                <w:szCs w:val="24"/>
              </w:rPr>
            </w:pPr>
            <w:r w:rsidRPr="00447F1E">
              <w:rPr>
                <w:rFonts w:ascii="Century" w:hAnsi="Century" w:cstheme="majorBidi"/>
                <w:i/>
                <w:iCs/>
                <w:sz w:val="24"/>
                <w:szCs w:val="24"/>
              </w:rPr>
              <w:t>Analisis Perbandingan Kinerja Keuangan Bank Konvensional dan Bank Syariah  Berdasarkan Rasio Keuangan Bank.</w:t>
            </w:r>
          </w:p>
          <w:p w:rsidR="0041735B" w:rsidRPr="00447F1E" w:rsidRDefault="0041735B" w:rsidP="00C22DFE">
            <w:pPr>
              <w:spacing w:before="80" w:after="80" w:line="240" w:lineRule="auto"/>
              <w:jc w:val="both"/>
              <w:rPr>
                <w:rFonts w:ascii="Century" w:hAnsi="Century"/>
                <w:i/>
              </w:rPr>
            </w:pPr>
          </w:p>
        </w:tc>
        <w:tc>
          <w:tcPr>
            <w:tcW w:w="236" w:type="dxa"/>
            <w:shd w:val="clear" w:color="auto" w:fill="auto"/>
          </w:tcPr>
          <w:p w:rsidR="0041735B" w:rsidRPr="00447F1E" w:rsidRDefault="0041735B" w:rsidP="00C22DFE">
            <w:pPr>
              <w:spacing w:before="80" w:after="80" w:line="240" w:lineRule="auto"/>
              <w:jc w:val="both"/>
              <w:rPr>
                <w:rFonts w:ascii="Century" w:hAnsi="Century"/>
                <w:lang w:val="id-ID"/>
              </w:rPr>
            </w:pPr>
          </w:p>
        </w:tc>
        <w:tc>
          <w:tcPr>
            <w:tcW w:w="5292" w:type="dxa"/>
            <w:vMerge/>
            <w:shd w:val="clear" w:color="auto" w:fill="auto"/>
          </w:tcPr>
          <w:p w:rsidR="0041735B" w:rsidRPr="00447F1E" w:rsidRDefault="0041735B" w:rsidP="00C22DFE">
            <w:pPr>
              <w:spacing w:before="80" w:after="80" w:line="240" w:lineRule="auto"/>
              <w:jc w:val="both"/>
              <w:rPr>
                <w:rFonts w:ascii="Century" w:hAnsi="Century"/>
                <w:lang w:val="id-ID"/>
              </w:rPr>
            </w:pPr>
          </w:p>
        </w:tc>
      </w:tr>
      <w:tr w:rsidR="0041735B" w:rsidRPr="00447F1E" w:rsidTr="00C22DFE">
        <w:tc>
          <w:tcPr>
            <w:tcW w:w="2508" w:type="dxa"/>
            <w:shd w:val="clear" w:color="auto" w:fill="auto"/>
          </w:tcPr>
          <w:p w:rsidR="0041735B" w:rsidRPr="00447F1E" w:rsidRDefault="0041735B" w:rsidP="00C22DFE">
            <w:pPr>
              <w:spacing w:before="80" w:after="80" w:line="240" w:lineRule="auto"/>
              <w:jc w:val="both"/>
              <w:rPr>
                <w:rFonts w:ascii="Century" w:hAnsi="Century"/>
                <w:i/>
                <w:lang w:val="id-ID"/>
              </w:rPr>
            </w:pPr>
          </w:p>
        </w:tc>
        <w:tc>
          <w:tcPr>
            <w:tcW w:w="236" w:type="dxa"/>
            <w:shd w:val="clear" w:color="auto" w:fill="auto"/>
          </w:tcPr>
          <w:p w:rsidR="0041735B" w:rsidRPr="00447F1E" w:rsidRDefault="0041735B" w:rsidP="00C22DFE">
            <w:pPr>
              <w:spacing w:before="80" w:after="80" w:line="240" w:lineRule="auto"/>
              <w:jc w:val="both"/>
              <w:rPr>
                <w:rFonts w:ascii="Century" w:hAnsi="Century"/>
                <w:lang w:val="id-ID"/>
              </w:rPr>
            </w:pPr>
          </w:p>
        </w:tc>
        <w:tc>
          <w:tcPr>
            <w:tcW w:w="5292" w:type="dxa"/>
            <w:vMerge/>
            <w:shd w:val="clear" w:color="auto" w:fill="auto"/>
          </w:tcPr>
          <w:p w:rsidR="0041735B" w:rsidRPr="00447F1E" w:rsidRDefault="0041735B" w:rsidP="00C22DFE">
            <w:pPr>
              <w:spacing w:before="80" w:after="80" w:line="240" w:lineRule="auto"/>
              <w:jc w:val="both"/>
              <w:rPr>
                <w:rFonts w:ascii="Century" w:hAnsi="Century"/>
                <w:lang w:val="id-ID"/>
              </w:rPr>
            </w:pPr>
          </w:p>
        </w:tc>
      </w:tr>
      <w:tr w:rsidR="0041735B" w:rsidRPr="00447F1E" w:rsidTr="00C22DFE">
        <w:tc>
          <w:tcPr>
            <w:tcW w:w="2508" w:type="dxa"/>
            <w:vMerge w:val="restart"/>
            <w:tcBorders>
              <w:top w:val="single" w:sz="4" w:space="0" w:color="auto"/>
              <w:bottom w:val="single" w:sz="4" w:space="0" w:color="auto"/>
            </w:tcBorders>
            <w:shd w:val="clear" w:color="auto" w:fill="auto"/>
          </w:tcPr>
          <w:p w:rsidR="001074D2" w:rsidRPr="00447F1E" w:rsidRDefault="00447F1E" w:rsidP="00C22DFE">
            <w:pPr>
              <w:tabs>
                <w:tab w:val="left" w:pos="567"/>
              </w:tabs>
              <w:spacing w:line="240" w:lineRule="auto"/>
              <w:jc w:val="both"/>
              <w:rPr>
                <w:rFonts w:ascii="Century" w:hAnsi="Century" w:cstheme="majorBidi"/>
                <w:sz w:val="24"/>
                <w:szCs w:val="24"/>
              </w:rPr>
            </w:pPr>
            <w:r>
              <w:rPr>
                <w:rFonts w:ascii="Century" w:hAnsi="Century"/>
                <w:b/>
                <w:bCs/>
              </w:rPr>
              <w:lastRenderedPageBreak/>
              <w:t>Keywords</w:t>
            </w:r>
            <w:r w:rsidR="0041735B" w:rsidRPr="00447F1E">
              <w:rPr>
                <w:rFonts w:ascii="Century" w:hAnsi="Century"/>
                <w:b/>
                <w:bCs/>
              </w:rPr>
              <w:t>:</w:t>
            </w:r>
            <w:r w:rsidR="001074D2" w:rsidRPr="00447F1E">
              <w:rPr>
                <w:rFonts w:ascii="Century" w:hAnsi="Century" w:cstheme="majorBidi"/>
                <w:i/>
                <w:iCs/>
                <w:sz w:val="24"/>
                <w:szCs w:val="24"/>
              </w:rPr>
              <w:t xml:space="preserve"> Comparative Analysis of Financial Performance of Conventional Banks and Islamic Banks Based on Bank Financial Ratios.</w:t>
            </w:r>
          </w:p>
          <w:p w:rsidR="00AB0FD9" w:rsidRPr="00447F1E" w:rsidRDefault="00AB0FD9" w:rsidP="00C22DFE">
            <w:pPr>
              <w:spacing w:line="240" w:lineRule="auto"/>
              <w:ind w:firstLine="360"/>
              <w:jc w:val="both"/>
              <w:rPr>
                <w:rFonts w:ascii="Century" w:hAnsi="Century" w:cstheme="majorBidi"/>
                <w:sz w:val="24"/>
                <w:szCs w:val="24"/>
              </w:rPr>
            </w:pPr>
          </w:p>
          <w:p w:rsidR="0041735B" w:rsidRPr="00447F1E" w:rsidRDefault="0041735B" w:rsidP="00C22DFE">
            <w:pPr>
              <w:spacing w:before="80" w:after="80" w:line="240" w:lineRule="auto"/>
              <w:jc w:val="both"/>
              <w:rPr>
                <w:rFonts w:ascii="Century" w:hAnsi="Century"/>
                <w:lang w:val="id-ID"/>
              </w:rPr>
            </w:pPr>
          </w:p>
        </w:tc>
        <w:tc>
          <w:tcPr>
            <w:tcW w:w="236" w:type="dxa"/>
            <w:shd w:val="clear" w:color="auto" w:fill="auto"/>
          </w:tcPr>
          <w:p w:rsidR="0041735B" w:rsidRPr="00447F1E" w:rsidRDefault="0041735B" w:rsidP="00C22DFE">
            <w:pPr>
              <w:spacing w:before="80" w:after="80" w:line="240" w:lineRule="auto"/>
              <w:jc w:val="both"/>
              <w:rPr>
                <w:rFonts w:ascii="Century" w:hAnsi="Century"/>
                <w:lang w:val="id-ID"/>
              </w:rPr>
            </w:pPr>
          </w:p>
        </w:tc>
        <w:tc>
          <w:tcPr>
            <w:tcW w:w="5292" w:type="dxa"/>
            <w:tcBorders>
              <w:top w:val="double" w:sz="4" w:space="0" w:color="auto"/>
              <w:bottom w:val="single" w:sz="4" w:space="0" w:color="auto"/>
            </w:tcBorders>
            <w:shd w:val="clear" w:color="auto" w:fill="auto"/>
          </w:tcPr>
          <w:p w:rsidR="0041735B" w:rsidRPr="00447F1E" w:rsidRDefault="0041735B" w:rsidP="00C22DFE">
            <w:pPr>
              <w:spacing w:before="80" w:after="80" w:line="240" w:lineRule="auto"/>
              <w:jc w:val="both"/>
              <w:rPr>
                <w:rFonts w:ascii="Century" w:hAnsi="Century"/>
              </w:rPr>
            </w:pPr>
            <w:r w:rsidRPr="00447F1E">
              <w:rPr>
                <w:rFonts w:ascii="Century" w:hAnsi="Century"/>
                <w:b/>
                <w:i/>
              </w:rPr>
              <w:t>Abstract</w:t>
            </w:r>
          </w:p>
        </w:tc>
      </w:tr>
      <w:tr w:rsidR="0041735B" w:rsidRPr="00447F1E" w:rsidTr="00C22DFE">
        <w:tc>
          <w:tcPr>
            <w:tcW w:w="2508" w:type="dxa"/>
            <w:vMerge/>
            <w:shd w:val="clear" w:color="auto" w:fill="auto"/>
          </w:tcPr>
          <w:p w:rsidR="0041735B" w:rsidRPr="00447F1E" w:rsidRDefault="0041735B" w:rsidP="00C22DFE">
            <w:pPr>
              <w:spacing w:before="80" w:after="80" w:line="240" w:lineRule="auto"/>
              <w:jc w:val="both"/>
              <w:rPr>
                <w:rFonts w:ascii="Century" w:hAnsi="Century"/>
              </w:rPr>
            </w:pPr>
          </w:p>
        </w:tc>
        <w:tc>
          <w:tcPr>
            <w:tcW w:w="236" w:type="dxa"/>
            <w:shd w:val="clear" w:color="auto" w:fill="auto"/>
          </w:tcPr>
          <w:p w:rsidR="0041735B" w:rsidRPr="00447F1E" w:rsidRDefault="0041735B" w:rsidP="00C22DFE">
            <w:pPr>
              <w:spacing w:before="80" w:after="80" w:line="240" w:lineRule="auto"/>
              <w:jc w:val="both"/>
              <w:rPr>
                <w:rFonts w:ascii="Century" w:hAnsi="Century"/>
                <w:lang w:val="id-ID"/>
              </w:rPr>
            </w:pPr>
          </w:p>
        </w:tc>
        <w:tc>
          <w:tcPr>
            <w:tcW w:w="5292" w:type="dxa"/>
            <w:vMerge w:val="restart"/>
            <w:tcBorders>
              <w:top w:val="single" w:sz="4" w:space="0" w:color="auto"/>
            </w:tcBorders>
            <w:shd w:val="clear" w:color="auto" w:fill="auto"/>
          </w:tcPr>
          <w:p w:rsidR="0041735B" w:rsidRPr="00447F1E" w:rsidRDefault="00C22DFE" w:rsidP="00C22DFE">
            <w:pPr>
              <w:tabs>
                <w:tab w:val="left" w:pos="567"/>
              </w:tabs>
              <w:spacing w:line="240" w:lineRule="auto"/>
              <w:jc w:val="both"/>
              <w:rPr>
                <w:rFonts w:ascii="Century" w:hAnsi="Century" w:cstheme="majorBidi"/>
              </w:rPr>
            </w:pPr>
            <w:r w:rsidRPr="00447F1E">
              <w:rPr>
                <w:rFonts w:ascii="Century" w:hAnsi="Century" w:cstheme="majorBidi"/>
              </w:rPr>
              <w:t>This study aims to analyze the comparative financial performance of Islamic Banks and Conventional Banks based on financial ratios and find out significant differences between the financial performance of Islamic Banks and Conventional Banks. This type of research is quantitative. The data used in the form of bank data that publishes annual financial statements, namely PT Bank Syariah Mandiri and PT Bank Mandiri from 2016 - 2018, the results of this study explain that based on the mean results of each ratio, shows that the performance of Islamic Banks based on CAR and NPL ratios better than Conventional Banks. The financial performance of Conventional Banks based on ROA ratios is better than Sharia Banks, whereas based on ROE ratios Conventional Banks and Sharia Banks have equally good performance. The performance of Sharia Banks and Conventional Bank performance based on the results of the one sample t-test of Sharia Banks and Conventional Banks based on CAR, ROA, LDR and ROE ratios have quite good performance, while based on NPL ratios of Sharia Banks and Conventional Banks have equally good performance. The independent sample t-test shows that there are significant differences in the ROA and NPL ratios in Islamic Banks and Conventional Banks, whereas in CAR, ROE and LDR ratios there is no significant difference between the financial performance of Conventional Banks and Islamic Banks</w:t>
            </w:r>
          </w:p>
        </w:tc>
      </w:tr>
      <w:tr w:rsidR="0041735B" w:rsidRPr="00447F1E" w:rsidTr="00C22DFE">
        <w:trPr>
          <w:trHeight w:val="504"/>
        </w:trPr>
        <w:tc>
          <w:tcPr>
            <w:tcW w:w="2508" w:type="dxa"/>
            <w:vMerge w:val="restart"/>
            <w:shd w:val="clear" w:color="auto" w:fill="auto"/>
          </w:tcPr>
          <w:p w:rsidR="0041735B" w:rsidRPr="00447F1E" w:rsidRDefault="0041735B" w:rsidP="00C22DFE">
            <w:pPr>
              <w:spacing w:before="80" w:after="80" w:line="240" w:lineRule="auto"/>
              <w:jc w:val="both"/>
              <w:rPr>
                <w:rFonts w:ascii="Century" w:hAnsi="Century"/>
                <w:b/>
              </w:rPr>
            </w:pPr>
          </w:p>
        </w:tc>
        <w:tc>
          <w:tcPr>
            <w:tcW w:w="236" w:type="dxa"/>
            <w:shd w:val="clear" w:color="auto" w:fill="auto"/>
          </w:tcPr>
          <w:p w:rsidR="0041735B" w:rsidRPr="00447F1E" w:rsidRDefault="0041735B" w:rsidP="00C22DFE">
            <w:pPr>
              <w:spacing w:before="80" w:after="80" w:line="240" w:lineRule="auto"/>
              <w:jc w:val="both"/>
              <w:rPr>
                <w:rFonts w:ascii="Century" w:hAnsi="Century"/>
                <w:lang w:val="id-ID"/>
              </w:rPr>
            </w:pPr>
          </w:p>
        </w:tc>
        <w:tc>
          <w:tcPr>
            <w:tcW w:w="5292" w:type="dxa"/>
            <w:vMerge/>
            <w:shd w:val="clear" w:color="auto" w:fill="auto"/>
          </w:tcPr>
          <w:p w:rsidR="0041735B" w:rsidRPr="00447F1E" w:rsidRDefault="0041735B" w:rsidP="00C22DFE">
            <w:pPr>
              <w:spacing w:before="80" w:after="80" w:line="240" w:lineRule="auto"/>
              <w:jc w:val="both"/>
              <w:rPr>
                <w:rFonts w:ascii="Century" w:hAnsi="Century"/>
                <w:lang w:val="id-ID"/>
              </w:rPr>
            </w:pPr>
          </w:p>
        </w:tc>
      </w:tr>
      <w:tr w:rsidR="0041735B" w:rsidRPr="00447F1E" w:rsidTr="00C22DFE">
        <w:tc>
          <w:tcPr>
            <w:tcW w:w="2508" w:type="dxa"/>
            <w:vMerge/>
            <w:tcBorders>
              <w:bottom w:val="double" w:sz="4" w:space="0" w:color="auto"/>
            </w:tcBorders>
            <w:shd w:val="clear" w:color="auto" w:fill="auto"/>
          </w:tcPr>
          <w:p w:rsidR="0041735B" w:rsidRPr="00447F1E" w:rsidRDefault="0041735B" w:rsidP="00C22DFE">
            <w:pPr>
              <w:spacing w:before="80" w:after="80" w:line="240" w:lineRule="auto"/>
              <w:jc w:val="both"/>
              <w:rPr>
                <w:rFonts w:ascii="Century" w:hAnsi="Century"/>
                <w:lang w:val="id-ID"/>
              </w:rPr>
            </w:pPr>
          </w:p>
        </w:tc>
        <w:tc>
          <w:tcPr>
            <w:tcW w:w="236" w:type="dxa"/>
            <w:tcBorders>
              <w:bottom w:val="double" w:sz="4" w:space="0" w:color="auto"/>
            </w:tcBorders>
            <w:shd w:val="clear" w:color="auto" w:fill="auto"/>
          </w:tcPr>
          <w:p w:rsidR="0041735B" w:rsidRPr="00447F1E" w:rsidRDefault="0041735B" w:rsidP="00C22DFE">
            <w:pPr>
              <w:spacing w:before="80" w:after="80" w:line="240" w:lineRule="auto"/>
              <w:jc w:val="both"/>
              <w:rPr>
                <w:rFonts w:ascii="Century" w:hAnsi="Century"/>
                <w:lang w:val="id-ID"/>
              </w:rPr>
            </w:pPr>
          </w:p>
        </w:tc>
        <w:tc>
          <w:tcPr>
            <w:tcW w:w="5292" w:type="dxa"/>
            <w:vMerge/>
            <w:tcBorders>
              <w:bottom w:val="double" w:sz="4" w:space="0" w:color="auto"/>
            </w:tcBorders>
            <w:shd w:val="clear" w:color="auto" w:fill="auto"/>
          </w:tcPr>
          <w:p w:rsidR="0041735B" w:rsidRPr="00447F1E" w:rsidRDefault="0041735B" w:rsidP="00C22DFE">
            <w:pPr>
              <w:spacing w:before="80" w:after="80" w:line="240" w:lineRule="auto"/>
              <w:jc w:val="both"/>
              <w:rPr>
                <w:rFonts w:ascii="Century" w:hAnsi="Century"/>
                <w:lang w:val="id-ID"/>
              </w:rPr>
            </w:pPr>
          </w:p>
        </w:tc>
      </w:tr>
    </w:tbl>
    <w:p w:rsidR="00DF3015" w:rsidRPr="00447F1E" w:rsidRDefault="00DF3015" w:rsidP="0092684D">
      <w:pPr>
        <w:spacing w:line="240" w:lineRule="auto"/>
        <w:ind w:left="567" w:hanging="267"/>
        <w:jc w:val="both"/>
        <w:rPr>
          <w:rFonts w:ascii="Century" w:hAnsi="Century" w:cstheme="majorBidi"/>
          <w:b/>
          <w:bCs/>
          <w:sz w:val="24"/>
          <w:szCs w:val="24"/>
        </w:rPr>
      </w:pPr>
    </w:p>
    <w:p w:rsidR="00DF3015" w:rsidRPr="00447F1E" w:rsidRDefault="00DF3015" w:rsidP="00C22DFE">
      <w:pPr>
        <w:pStyle w:val="Bibliography"/>
        <w:spacing w:after="240" w:line="240" w:lineRule="auto"/>
        <w:ind w:left="720" w:hanging="720"/>
        <w:jc w:val="both"/>
        <w:rPr>
          <w:rFonts w:ascii="Century" w:hAnsi="Century" w:cstheme="majorBidi"/>
          <w:b/>
          <w:bCs/>
          <w:noProof/>
          <w:sz w:val="24"/>
          <w:szCs w:val="24"/>
          <w:lang w:val="id-ID"/>
        </w:rPr>
      </w:pPr>
    </w:p>
    <w:p w:rsidR="00F14268" w:rsidRPr="00447F1E" w:rsidRDefault="00F14268" w:rsidP="00C22DFE">
      <w:pPr>
        <w:spacing w:line="240" w:lineRule="auto"/>
        <w:jc w:val="both"/>
        <w:rPr>
          <w:rFonts w:ascii="Century" w:hAnsi="Century"/>
          <w:lang w:val="id-ID"/>
        </w:rPr>
      </w:pPr>
    </w:p>
    <w:p w:rsidR="00F14268" w:rsidRPr="00447F1E" w:rsidRDefault="00F14268" w:rsidP="00C22DFE">
      <w:pPr>
        <w:spacing w:line="240" w:lineRule="auto"/>
        <w:jc w:val="both"/>
        <w:rPr>
          <w:rFonts w:ascii="Century" w:hAnsi="Century"/>
          <w:lang w:val="id-ID"/>
        </w:rPr>
      </w:pPr>
    </w:p>
    <w:p w:rsidR="00DF3015" w:rsidRPr="00447F1E" w:rsidRDefault="00DF3015" w:rsidP="0092684D">
      <w:pPr>
        <w:pStyle w:val="Bibliography"/>
        <w:spacing w:after="240" w:line="240" w:lineRule="auto"/>
        <w:jc w:val="both"/>
        <w:rPr>
          <w:rFonts w:ascii="Century" w:hAnsi="Century" w:cstheme="majorBidi"/>
          <w:b/>
          <w:bCs/>
          <w:noProof/>
          <w:sz w:val="24"/>
          <w:szCs w:val="24"/>
        </w:rPr>
      </w:pPr>
      <w:r w:rsidRPr="00447F1E">
        <w:rPr>
          <w:rFonts w:ascii="Century" w:hAnsi="Century" w:cstheme="majorBidi"/>
          <w:b/>
          <w:bCs/>
          <w:noProof/>
          <w:sz w:val="24"/>
          <w:szCs w:val="24"/>
        </w:rPr>
        <w:t>DAFTAR PUSTAKA</w:t>
      </w:r>
    </w:p>
    <w:p w:rsidR="00DF3015" w:rsidRPr="00447F1E" w:rsidRDefault="00DF3015" w:rsidP="00C22DFE">
      <w:pPr>
        <w:pStyle w:val="Bibliography"/>
        <w:spacing w:after="240" w:line="240" w:lineRule="auto"/>
        <w:ind w:left="720" w:hanging="720"/>
        <w:jc w:val="both"/>
        <w:rPr>
          <w:rFonts w:ascii="Century" w:hAnsi="Century" w:cstheme="majorBidi"/>
          <w:noProof/>
          <w:sz w:val="24"/>
          <w:szCs w:val="24"/>
        </w:rPr>
      </w:pPr>
      <w:r w:rsidRPr="00447F1E">
        <w:rPr>
          <w:rFonts w:ascii="Century" w:hAnsi="Century" w:cstheme="majorBidi"/>
          <w:noProof/>
          <w:sz w:val="24"/>
          <w:szCs w:val="24"/>
        </w:rPr>
        <w:lastRenderedPageBreak/>
        <w:t>(n.d.). Retrieved from www.ojk.go.id</w:t>
      </w:r>
    </w:p>
    <w:p w:rsidR="00DF3015" w:rsidRPr="00447F1E" w:rsidRDefault="00DF3015" w:rsidP="00C22DFE">
      <w:pPr>
        <w:pStyle w:val="Bibliography"/>
        <w:spacing w:after="240" w:line="240" w:lineRule="auto"/>
        <w:ind w:left="720" w:hanging="720"/>
        <w:jc w:val="both"/>
        <w:rPr>
          <w:rFonts w:ascii="Century" w:hAnsi="Century" w:cstheme="majorBidi"/>
          <w:noProof/>
          <w:sz w:val="24"/>
          <w:szCs w:val="24"/>
        </w:rPr>
      </w:pPr>
      <w:r w:rsidRPr="00447F1E">
        <w:rPr>
          <w:rFonts w:ascii="Century" w:hAnsi="Century" w:cstheme="majorBidi"/>
          <w:noProof/>
          <w:sz w:val="24"/>
          <w:szCs w:val="24"/>
        </w:rPr>
        <w:t xml:space="preserve">Aan Zainul Arifin, M. S. (2019). analisis perbandingan kinerja keuangan bank syariah dank bank konvensional. </w:t>
      </w:r>
      <w:r w:rsidRPr="00447F1E">
        <w:rPr>
          <w:rFonts w:ascii="Century" w:hAnsi="Century" w:cstheme="majorBidi"/>
          <w:i/>
          <w:iCs/>
          <w:noProof/>
          <w:sz w:val="24"/>
          <w:szCs w:val="24"/>
        </w:rPr>
        <w:t>Fakultas Ilmu Administrasi Universitas Brawijaya Malang</w:t>
      </w:r>
      <w:r w:rsidRPr="00447F1E">
        <w:rPr>
          <w:rFonts w:ascii="Century" w:hAnsi="Century" w:cstheme="majorBidi"/>
          <w:noProof/>
          <w:sz w:val="24"/>
          <w:szCs w:val="24"/>
        </w:rPr>
        <w:t>.</w:t>
      </w:r>
    </w:p>
    <w:p w:rsidR="00DF3015" w:rsidRPr="00447F1E" w:rsidRDefault="00DF3015" w:rsidP="00C22DFE">
      <w:pPr>
        <w:pStyle w:val="Bibliography"/>
        <w:spacing w:after="240" w:line="240" w:lineRule="auto"/>
        <w:ind w:left="720" w:hanging="720"/>
        <w:jc w:val="both"/>
        <w:rPr>
          <w:rFonts w:ascii="Century" w:hAnsi="Century" w:cstheme="majorBidi"/>
          <w:noProof/>
          <w:sz w:val="24"/>
          <w:szCs w:val="24"/>
        </w:rPr>
      </w:pPr>
      <w:r w:rsidRPr="00447F1E">
        <w:rPr>
          <w:rFonts w:ascii="Century" w:hAnsi="Century" w:cstheme="majorBidi"/>
          <w:noProof/>
          <w:sz w:val="24"/>
          <w:szCs w:val="24"/>
        </w:rPr>
        <w:t xml:space="preserve">Abraham Muchlish, D. U. (2016). Analisis Kinerja Keuangan Bank Syariah dan Bank Konvensional Indonesia. </w:t>
      </w:r>
      <w:r w:rsidRPr="00447F1E">
        <w:rPr>
          <w:rFonts w:ascii="Century" w:hAnsi="Century" w:cstheme="majorBidi"/>
          <w:i/>
          <w:iCs/>
          <w:noProof/>
          <w:sz w:val="24"/>
          <w:szCs w:val="24"/>
        </w:rPr>
        <w:t>PT. Bank CIMB Niaga, Tbk STIE Rahmaniyah</w:t>
      </w:r>
      <w:r w:rsidRPr="00447F1E">
        <w:rPr>
          <w:rFonts w:ascii="Century" w:hAnsi="Century" w:cstheme="majorBidi"/>
          <w:noProof/>
          <w:sz w:val="24"/>
          <w:szCs w:val="24"/>
        </w:rPr>
        <w:t>.</w:t>
      </w:r>
    </w:p>
    <w:p w:rsidR="00DF3015" w:rsidRPr="00447F1E" w:rsidRDefault="00DF3015" w:rsidP="00C22DFE">
      <w:pPr>
        <w:pStyle w:val="Bibliography"/>
        <w:spacing w:after="240" w:line="240" w:lineRule="auto"/>
        <w:ind w:left="720" w:hanging="720"/>
        <w:jc w:val="both"/>
        <w:rPr>
          <w:rFonts w:ascii="Century" w:hAnsi="Century" w:cstheme="majorBidi"/>
          <w:noProof/>
          <w:sz w:val="24"/>
          <w:szCs w:val="24"/>
        </w:rPr>
      </w:pPr>
      <w:r w:rsidRPr="00447F1E">
        <w:rPr>
          <w:rFonts w:ascii="Century" w:hAnsi="Century" w:cstheme="majorBidi"/>
          <w:noProof/>
          <w:sz w:val="24"/>
          <w:szCs w:val="24"/>
        </w:rPr>
        <w:t xml:space="preserve">Bank, I. (2014). </w:t>
      </w:r>
      <w:r w:rsidRPr="00447F1E">
        <w:rPr>
          <w:rFonts w:ascii="Century" w:hAnsi="Century" w:cstheme="majorBidi"/>
          <w:i/>
          <w:iCs/>
          <w:noProof/>
          <w:sz w:val="24"/>
          <w:szCs w:val="24"/>
        </w:rPr>
        <w:t>Kodifikasi Produk Perbankan Syariah.</w:t>
      </w:r>
    </w:p>
    <w:p w:rsidR="00DF3015" w:rsidRPr="00447F1E" w:rsidRDefault="00DF3015" w:rsidP="00C22DFE">
      <w:pPr>
        <w:pStyle w:val="Bibliography"/>
        <w:spacing w:after="240" w:line="240" w:lineRule="auto"/>
        <w:ind w:left="720" w:hanging="720"/>
        <w:jc w:val="both"/>
        <w:rPr>
          <w:rFonts w:ascii="Century" w:hAnsi="Century" w:cstheme="majorBidi"/>
          <w:noProof/>
          <w:sz w:val="24"/>
          <w:szCs w:val="24"/>
        </w:rPr>
      </w:pPr>
      <w:r w:rsidRPr="00447F1E">
        <w:rPr>
          <w:rFonts w:ascii="Century" w:hAnsi="Century" w:cstheme="majorBidi"/>
          <w:noProof/>
          <w:sz w:val="24"/>
          <w:szCs w:val="24"/>
        </w:rPr>
        <w:t xml:space="preserve">Bank, I. (2018). </w:t>
      </w:r>
      <w:r w:rsidRPr="00447F1E">
        <w:rPr>
          <w:rFonts w:ascii="Century" w:hAnsi="Century" w:cstheme="majorBidi"/>
          <w:i/>
          <w:iCs/>
          <w:noProof/>
          <w:sz w:val="24"/>
          <w:szCs w:val="24"/>
        </w:rPr>
        <w:t>Statistik Perbankan Indonesia</w:t>
      </w:r>
      <w:r w:rsidRPr="00447F1E">
        <w:rPr>
          <w:rFonts w:ascii="Century" w:hAnsi="Century" w:cstheme="majorBidi"/>
          <w:noProof/>
          <w:sz w:val="24"/>
          <w:szCs w:val="24"/>
        </w:rPr>
        <w:t xml:space="preserve">. Retrieved November 10, 2019, from Jakarta (Online): </w:t>
      </w:r>
      <w:hyperlink r:id="rId9" w:history="1">
        <w:r w:rsidRPr="00447F1E">
          <w:rPr>
            <w:rStyle w:val="Hyperlink"/>
            <w:rFonts w:ascii="Century" w:hAnsi="Century" w:cstheme="majorBidi"/>
            <w:noProof/>
            <w:sz w:val="24"/>
            <w:szCs w:val="24"/>
          </w:rPr>
          <w:t>www.bi.go.id</w:t>
        </w:r>
      </w:hyperlink>
    </w:p>
    <w:p w:rsidR="00DF3015" w:rsidRPr="00447F1E" w:rsidRDefault="00DF3015" w:rsidP="00C22DFE">
      <w:pPr>
        <w:pStyle w:val="Bibliography"/>
        <w:spacing w:after="240" w:line="240" w:lineRule="auto"/>
        <w:ind w:left="720" w:hanging="720"/>
        <w:jc w:val="both"/>
        <w:rPr>
          <w:rFonts w:ascii="Century" w:hAnsi="Century" w:cstheme="majorBidi"/>
          <w:noProof/>
          <w:sz w:val="24"/>
          <w:szCs w:val="24"/>
        </w:rPr>
      </w:pPr>
      <w:r w:rsidRPr="00447F1E">
        <w:rPr>
          <w:rFonts w:ascii="Century" w:hAnsi="Century" w:cstheme="majorBidi"/>
          <w:noProof/>
          <w:sz w:val="24"/>
          <w:szCs w:val="24"/>
        </w:rPr>
        <w:t xml:space="preserve">Fahmi, I. (2014). </w:t>
      </w:r>
      <w:r w:rsidRPr="00447F1E">
        <w:rPr>
          <w:rFonts w:ascii="Century" w:hAnsi="Century" w:cstheme="majorBidi"/>
          <w:i/>
          <w:iCs/>
          <w:noProof/>
          <w:sz w:val="24"/>
          <w:szCs w:val="24"/>
        </w:rPr>
        <w:t>Analisis Laporan Keuangan.</w:t>
      </w:r>
      <w:r w:rsidRPr="00447F1E">
        <w:rPr>
          <w:rFonts w:ascii="Century" w:hAnsi="Century" w:cstheme="majorBidi"/>
          <w:noProof/>
          <w:sz w:val="24"/>
          <w:szCs w:val="24"/>
        </w:rPr>
        <w:t xml:space="preserve"> Bandung: Alfabeta.</w:t>
      </w:r>
    </w:p>
    <w:p w:rsidR="00DF3015" w:rsidRPr="00447F1E" w:rsidRDefault="00DF3015" w:rsidP="00C22DFE">
      <w:pPr>
        <w:pStyle w:val="Bibliography"/>
        <w:spacing w:after="240" w:line="240" w:lineRule="auto"/>
        <w:ind w:left="720" w:hanging="720"/>
        <w:jc w:val="both"/>
        <w:rPr>
          <w:rFonts w:ascii="Century" w:hAnsi="Century" w:cstheme="majorBidi"/>
          <w:noProof/>
          <w:sz w:val="24"/>
          <w:szCs w:val="24"/>
        </w:rPr>
      </w:pPr>
      <w:r w:rsidRPr="00447F1E">
        <w:rPr>
          <w:rFonts w:ascii="Century" w:hAnsi="Century" w:cstheme="majorBidi"/>
          <w:noProof/>
          <w:sz w:val="24"/>
          <w:szCs w:val="24"/>
        </w:rPr>
        <w:t xml:space="preserve">Kasmir. (2009:25). </w:t>
      </w:r>
      <w:r w:rsidRPr="00447F1E">
        <w:rPr>
          <w:rFonts w:ascii="Century" w:hAnsi="Century" w:cstheme="majorBidi"/>
          <w:i/>
          <w:iCs/>
          <w:noProof/>
          <w:sz w:val="24"/>
          <w:szCs w:val="24"/>
        </w:rPr>
        <w:t>Analisis Laporan Keuangan .</w:t>
      </w:r>
      <w:r w:rsidRPr="00447F1E">
        <w:rPr>
          <w:rFonts w:ascii="Century" w:hAnsi="Century" w:cstheme="majorBidi"/>
          <w:noProof/>
          <w:sz w:val="24"/>
          <w:szCs w:val="24"/>
        </w:rPr>
        <w:t xml:space="preserve"> Jakarta: Rajawali Pers.</w:t>
      </w:r>
    </w:p>
    <w:p w:rsidR="00DF3015" w:rsidRPr="00447F1E" w:rsidRDefault="00DF3015" w:rsidP="00C22DFE">
      <w:pPr>
        <w:pStyle w:val="Bibliography"/>
        <w:spacing w:after="240" w:line="240" w:lineRule="auto"/>
        <w:ind w:left="720" w:hanging="720"/>
        <w:jc w:val="both"/>
        <w:rPr>
          <w:rFonts w:ascii="Century" w:hAnsi="Century" w:cstheme="majorBidi"/>
          <w:noProof/>
          <w:sz w:val="24"/>
          <w:szCs w:val="24"/>
        </w:rPr>
      </w:pPr>
      <w:r w:rsidRPr="00447F1E">
        <w:rPr>
          <w:rFonts w:ascii="Century" w:hAnsi="Century" w:cstheme="majorBidi"/>
          <w:noProof/>
          <w:sz w:val="24"/>
          <w:szCs w:val="24"/>
        </w:rPr>
        <w:t xml:space="preserve">Lemiyana. (2017:54). Analisis Komparasi Kinerja Keuangan Perbankan Konvensional Dan Perbankan Syariah. </w:t>
      </w:r>
      <w:r w:rsidRPr="00447F1E">
        <w:rPr>
          <w:rFonts w:ascii="Century" w:hAnsi="Century" w:cstheme="majorBidi"/>
          <w:i/>
          <w:iCs/>
          <w:noProof/>
          <w:sz w:val="24"/>
          <w:szCs w:val="24"/>
        </w:rPr>
        <w:t>Journal I-Finance, 1(1), 53-66</w:t>
      </w:r>
      <w:r w:rsidRPr="00447F1E">
        <w:rPr>
          <w:rFonts w:ascii="Century" w:hAnsi="Century" w:cstheme="majorBidi"/>
          <w:noProof/>
          <w:sz w:val="24"/>
          <w:szCs w:val="24"/>
        </w:rPr>
        <w:t>.</w:t>
      </w:r>
    </w:p>
    <w:p w:rsidR="00DF3015" w:rsidRPr="00447F1E" w:rsidRDefault="00DF3015" w:rsidP="00C22DFE">
      <w:pPr>
        <w:pStyle w:val="Bibliography"/>
        <w:spacing w:after="240" w:line="240" w:lineRule="auto"/>
        <w:ind w:left="720" w:hanging="720"/>
        <w:jc w:val="both"/>
        <w:rPr>
          <w:rFonts w:ascii="Century" w:hAnsi="Century" w:cstheme="majorBidi"/>
          <w:noProof/>
          <w:sz w:val="24"/>
          <w:szCs w:val="24"/>
        </w:rPr>
      </w:pPr>
      <w:r w:rsidRPr="00447F1E">
        <w:rPr>
          <w:rFonts w:ascii="Century" w:hAnsi="Century" w:cstheme="majorBidi"/>
          <w:noProof/>
          <w:sz w:val="24"/>
          <w:szCs w:val="24"/>
        </w:rPr>
        <w:t xml:space="preserve">Ludgardis Deliman, S. A. (2019). Analisis Perbandingan Kinerja Keuangan Antara Bank Umum Syariah Dan Bank Umum Konvensional. </w:t>
      </w:r>
      <w:r w:rsidRPr="00447F1E">
        <w:rPr>
          <w:rFonts w:ascii="Century" w:hAnsi="Century" w:cstheme="majorBidi"/>
          <w:i/>
          <w:iCs/>
          <w:noProof/>
          <w:sz w:val="24"/>
          <w:szCs w:val="24"/>
        </w:rPr>
        <w:t>Universitas Merdeka Malang</w:t>
      </w:r>
      <w:r w:rsidRPr="00447F1E">
        <w:rPr>
          <w:rFonts w:ascii="Century" w:hAnsi="Century" w:cstheme="majorBidi"/>
          <w:noProof/>
          <w:sz w:val="24"/>
          <w:szCs w:val="24"/>
        </w:rPr>
        <w:t>.</w:t>
      </w:r>
    </w:p>
    <w:p w:rsidR="009C55C9" w:rsidRPr="00447F1E" w:rsidRDefault="00DF3015" w:rsidP="00C22DFE">
      <w:pPr>
        <w:pStyle w:val="Bibliography"/>
        <w:spacing w:after="240" w:line="240" w:lineRule="auto"/>
        <w:ind w:left="720" w:hanging="720"/>
        <w:jc w:val="both"/>
        <w:rPr>
          <w:rFonts w:ascii="Century" w:hAnsi="Century" w:cstheme="majorBidi"/>
          <w:noProof/>
          <w:sz w:val="24"/>
          <w:szCs w:val="24"/>
          <w:lang w:val="id-ID"/>
        </w:rPr>
      </w:pPr>
      <w:r w:rsidRPr="00447F1E">
        <w:rPr>
          <w:rFonts w:ascii="Century" w:hAnsi="Century" w:cstheme="majorBidi"/>
          <w:noProof/>
          <w:sz w:val="24"/>
          <w:szCs w:val="24"/>
        </w:rPr>
        <w:t xml:space="preserve">Sukarno, K. S. (2016). Analisis Faktor-Faktor Yang Mempengaruhi Kinerja Bank Umum Di Indonesia . </w:t>
      </w:r>
      <w:r w:rsidRPr="00447F1E">
        <w:rPr>
          <w:rFonts w:ascii="Century" w:hAnsi="Century" w:cstheme="majorBidi"/>
          <w:i/>
          <w:iCs/>
          <w:noProof/>
          <w:sz w:val="24"/>
          <w:szCs w:val="24"/>
        </w:rPr>
        <w:t>Jurnal Studi Manajemen Dan Organisasi</w:t>
      </w:r>
      <w:r w:rsidRPr="00447F1E">
        <w:rPr>
          <w:rFonts w:ascii="Century" w:hAnsi="Century" w:cstheme="majorBidi"/>
          <w:noProof/>
          <w:sz w:val="24"/>
          <w:szCs w:val="24"/>
        </w:rPr>
        <w:t>, 3 (2), 46-58.</w:t>
      </w:r>
    </w:p>
    <w:sectPr w:rsidR="009C55C9" w:rsidRPr="00447F1E" w:rsidSect="00001A5D">
      <w:headerReference w:type="default" r:id="rId10"/>
      <w:footerReference w:type="default" r:id="rId11"/>
      <w:pgSz w:w="11907" w:h="16839" w:code="9"/>
      <w:pgMar w:top="1701" w:right="1701" w:bottom="1701" w:left="2268" w:header="709" w:footer="70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F82" w:rsidRDefault="00622F82" w:rsidP="00573CC0">
      <w:pPr>
        <w:spacing w:line="240" w:lineRule="auto"/>
      </w:pPr>
      <w:r>
        <w:separator/>
      </w:r>
    </w:p>
  </w:endnote>
  <w:endnote w:type="continuationSeparator" w:id="1">
    <w:p w:rsidR="00622F82" w:rsidRDefault="00622F82" w:rsidP="00573C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589452"/>
      <w:docPartObj>
        <w:docPartGallery w:val="Page Numbers (Bottom of Page)"/>
        <w:docPartUnique/>
      </w:docPartObj>
    </w:sdtPr>
    <w:sdtEndPr>
      <w:rPr>
        <w:noProof/>
      </w:rPr>
    </w:sdtEndPr>
    <w:sdtContent>
      <w:p w:rsidR="00630E98" w:rsidRPr="00F132C4" w:rsidRDefault="00630E98" w:rsidP="00630E98">
        <w:pPr>
          <w:shd w:val="clear" w:color="auto" w:fill="FFFFFF"/>
          <w:jc w:val="both"/>
          <w:rPr>
            <w:rFonts w:ascii="Book Antiqua" w:hAnsi="Book Antiqua"/>
            <w:b/>
            <w:lang w:val="id-ID"/>
          </w:rPr>
        </w:pPr>
        <w:r w:rsidRPr="00F132C4">
          <w:rPr>
            <w:i/>
          </w:rPr>
          <w:t>V</w:t>
        </w:r>
        <w:r>
          <w:rPr>
            <w:i/>
          </w:rPr>
          <w:t>olume 1 No 1, 1 Januari 2020</w:t>
        </w:r>
        <w:r>
          <w:rPr>
            <w:i/>
          </w:rPr>
          <w:tab/>
        </w:r>
        <w:r>
          <w:rPr>
            <w:i/>
          </w:rPr>
          <w:tab/>
        </w:r>
        <w:r>
          <w:rPr>
            <w:i/>
          </w:rPr>
          <w:tab/>
        </w:r>
        <w:r>
          <w:rPr>
            <w:i/>
          </w:rPr>
          <w:tab/>
        </w:r>
        <w:r>
          <w:rPr>
            <w:i/>
          </w:rPr>
          <w:tab/>
        </w:r>
        <w:r>
          <w:rPr>
            <w:i/>
          </w:rPr>
          <w:tab/>
        </w:r>
      </w:p>
      <w:p w:rsidR="00C22DFE" w:rsidRPr="00630E98" w:rsidRDefault="00AD4860" w:rsidP="00630E98">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F82" w:rsidRDefault="00622F82" w:rsidP="00573CC0">
      <w:pPr>
        <w:spacing w:line="240" w:lineRule="auto"/>
      </w:pPr>
      <w:r>
        <w:separator/>
      </w:r>
    </w:p>
  </w:footnote>
  <w:footnote w:type="continuationSeparator" w:id="1">
    <w:p w:rsidR="00622F82" w:rsidRDefault="00622F82" w:rsidP="00573CC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98" w:rsidRPr="00FC3DDF" w:rsidRDefault="00630E98" w:rsidP="00630E98">
    <w:pPr>
      <w:pStyle w:val="Header"/>
      <w:jc w:val="right"/>
      <w:rPr>
        <w:i/>
      </w:rPr>
    </w:pPr>
    <w:r w:rsidRPr="00F132C4">
      <w:rPr>
        <w:i/>
      </w:rPr>
      <w:t xml:space="preserve">Jurnal </w:t>
    </w:r>
    <w:r>
      <w:rPr>
        <w:i/>
      </w:rPr>
      <w:t>Ekonomi Mahasiswa (JEKMa</w:t>
    </w:r>
    <w:r w:rsidRPr="00F132C4">
      <w:t xml:space="preserve">)                         </w:t>
    </w:r>
  </w:p>
  <w:p w:rsidR="00630E98" w:rsidRDefault="00630E98" w:rsidP="00630E98">
    <w:pPr>
      <w:pStyle w:val="Header"/>
      <w:jc w:val="right"/>
      <w:rPr>
        <w:i/>
      </w:rPr>
    </w:pPr>
    <w:r>
      <w:tab/>
    </w:r>
    <w:r>
      <w:rPr>
        <w:i/>
      </w:rPr>
      <w:t>e-ISSN</w:t>
    </w:r>
  </w:p>
  <w:p w:rsidR="00630E98" w:rsidRPr="00064C3A" w:rsidRDefault="00630E98" w:rsidP="00630E98">
    <w:pPr>
      <w:pStyle w:val="Header"/>
      <w:jc w:val="right"/>
      <w:rPr>
        <w:i/>
      </w:rPr>
    </w:pPr>
    <w:r>
      <w:rPr>
        <w:i/>
      </w:rPr>
      <w:tab/>
      <w:t>p-ISSN: 2715-9094</w:t>
    </w:r>
  </w:p>
  <w:p w:rsidR="00630E98" w:rsidRDefault="00630E98" w:rsidP="00630E98">
    <w:pPr>
      <w:pStyle w:val="Header"/>
      <w:rPr>
        <w:i/>
      </w:rPr>
    </w:pPr>
  </w:p>
  <w:p w:rsidR="00C22DFE" w:rsidRPr="00630E98" w:rsidRDefault="00C22DFE" w:rsidP="00630E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FF3C23E4"/>
    <w:lvl w:ilvl="0" w:tplc="0421000F">
      <w:start w:val="1"/>
      <w:numFmt w:val="decimal"/>
      <w:lvlText w:val="%1."/>
      <w:lvlJc w:val="left"/>
      <w:pPr>
        <w:ind w:left="6414" w:hanging="360"/>
      </w:pPr>
      <w:rPr>
        <w:rFonts w:cs="Times New Roman"/>
      </w:rPr>
    </w:lvl>
    <w:lvl w:ilvl="1" w:tplc="04210019">
      <w:start w:val="1"/>
      <w:numFmt w:val="lowerLetter"/>
      <w:lvlText w:val="%2."/>
      <w:lvlJc w:val="left"/>
      <w:pPr>
        <w:ind w:left="7134" w:hanging="360"/>
      </w:pPr>
      <w:rPr>
        <w:rFonts w:cs="Times New Roman"/>
      </w:rPr>
    </w:lvl>
    <w:lvl w:ilvl="2" w:tplc="0421001B" w:tentative="1">
      <w:start w:val="1"/>
      <w:numFmt w:val="lowerRoman"/>
      <w:lvlText w:val="%3."/>
      <w:lvlJc w:val="right"/>
      <w:pPr>
        <w:ind w:left="7854" w:hanging="180"/>
      </w:pPr>
      <w:rPr>
        <w:rFonts w:cs="Times New Roman"/>
      </w:rPr>
    </w:lvl>
    <w:lvl w:ilvl="3" w:tplc="0421000F" w:tentative="1">
      <w:start w:val="1"/>
      <w:numFmt w:val="decimal"/>
      <w:lvlText w:val="%4."/>
      <w:lvlJc w:val="left"/>
      <w:pPr>
        <w:ind w:left="8574" w:hanging="360"/>
      </w:pPr>
      <w:rPr>
        <w:rFonts w:cs="Times New Roman"/>
      </w:rPr>
    </w:lvl>
    <w:lvl w:ilvl="4" w:tplc="04210019" w:tentative="1">
      <w:start w:val="1"/>
      <w:numFmt w:val="lowerLetter"/>
      <w:lvlText w:val="%5."/>
      <w:lvlJc w:val="left"/>
      <w:pPr>
        <w:ind w:left="9294" w:hanging="360"/>
      </w:pPr>
      <w:rPr>
        <w:rFonts w:cs="Times New Roman"/>
      </w:rPr>
    </w:lvl>
    <w:lvl w:ilvl="5" w:tplc="0421001B" w:tentative="1">
      <w:start w:val="1"/>
      <w:numFmt w:val="lowerRoman"/>
      <w:lvlText w:val="%6."/>
      <w:lvlJc w:val="right"/>
      <w:pPr>
        <w:ind w:left="10014" w:hanging="180"/>
      </w:pPr>
      <w:rPr>
        <w:rFonts w:cs="Times New Roman"/>
      </w:rPr>
    </w:lvl>
    <w:lvl w:ilvl="6" w:tplc="0421000F" w:tentative="1">
      <w:start w:val="1"/>
      <w:numFmt w:val="decimal"/>
      <w:lvlText w:val="%7."/>
      <w:lvlJc w:val="left"/>
      <w:pPr>
        <w:ind w:left="10734" w:hanging="360"/>
      </w:pPr>
      <w:rPr>
        <w:rFonts w:cs="Times New Roman"/>
      </w:rPr>
    </w:lvl>
    <w:lvl w:ilvl="7" w:tplc="04210019" w:tentative="1">
      <w:start w:val="1"/>
      <w:numFmt w:val="lowerLetter"/>
      <w:lvlText w:val="%8."/>
      <w:lvlJc w:val="left"/>
      <w:pPr>
        <w:ind w:left="11454" w:hanging="360"/>
      </w:pPr>
      <w:rPr>
        <w:rFonts w:cs="Times New Roman"/>
      </w:rPr>
    </w:lvl>
    <w:lvl w:ilvl="8" w:tplc="0421001B" w:tentative="1">
      <w:start w:val="1"/>
      <w:numFmt w:val="lowerRoman"/>
      <w:lvlText w:val="%9."/>
      <w:lvlJc w:val="right"/>
      <w:pPr>
        <w:ind w:left="12174" w:hanging="180"/>
      </w:pPr>
      <w:rPr>
        <w:rFonts w:cs="Times New Roman"/>
      </w:rPr>
    </w:lvl>
  </w:abstractNum>
  <w:abstractNum w:abstractNumId="1">
    <w:nsid w:val="001E3422"/>
    <w:multiLevelType w:val="hybridMultilevel"/>
    <w:tmpl w:val="B0D8C51A"/>
    <w:lvl w:ilvl="0" w:tplc="0630B24E">
      <w:start w:val="1"/>
      <w:numFmt w:val="decimal"/>
      <w:lvlText w:val="%1."/>
      <w:lvlJc w:val="left"/>
      <w:pPr>
        <w:ind w:left="1320" w:hanging="360"/>
      </w:pPr>
      <w:rPr>
        <w:b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032C51F5"/>
    <w:multiLevelType w:val="hybridMultilevel"/>
    <w:tmpl w:val="DCDEEFE2"/>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075B6CA8"/>
    <w:multiLevelType w:val="hybridMultilevel"/>
    <w:tmpl w:val="6284C02A"/>
    <w:lvl w:ilvl="0" w:tplc="8FE4B9C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F436B"/>
    <w:multiLevelType w:val="hybridMultilevel"/>
    <w:tmpl w:val="1870FAE8"/>
    <w:lvl w:ilvl="0" w:tplc="3398C49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074A6F"/>
    <w:multiLevelType w:val="hybridMultilevel"/>
    <w:tmpl w:val="114E4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1A5196"/>
    <w:multiLevelType w:val="hybridMultilevel"/>
    <w:tmpl w:val="A86E21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043CE0"/>
    <w:multiLevelType w:val="hybridMultilevel"/>
    <w:tmpl w:val="EBC69134"/>
    <w:lvl w:ilvl="0" w:tplc="C22A81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3F0B64"/>
    <w:multiLevelType w:val="hybridMultilevel"/>
    <w:tmpl w:val="0FDCE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12181"/>
    <w:multiLevelType w:val="hybridMultilevel"/>
    <w:tmpl w:val="0890C102"/>
    <w:lvl w:ilvl="0" w:tplc="DC98433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73398B"/>
    <w:multiLevelType w:val="hybridMultilevel"/>
    <w:tmpl w:val="6C845E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E03346"/>
    <w:multiLevelType w:val="hybridMultilevel"/>
    <w:tmpl w:val="701A1C8A"/>
    <w:lvl w:ilvl="0" w:tplc="D542DE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2C95067"/>
    <w:multiLevelType w:val="hybridMultilevel"/>
    <w:tmpl w:val="86641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E851C1"/>
    <w:multiLevelType w:val="hybridMultilevel"/>
    <w:tmpl w:val="B5DE983A"/>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nsid w:val="4DA73FF5"/>
    <w:multiLevelType w:val="hybridMultilevel"/>
    <w:tmpl w:val="AA4A6EE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nsid w:val="59612EB7"/>
    <w:multiLevelType w:val="hybridMultilevel"/>
    <w:tmpl w:val="59AC6D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A40171D"/>
    <w:multiLevelType w:val="hybridMultilevel"/>
    <w:tmpl w:val="E71E22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0E3C6D"/>
    <w:multiLevelType w:val="hybridMultilevel"/>
    <w:tmpl w:val="E668B130"/>
    <w:lvl w:ilvl="0" w:tplc="32FC552E">
      <w:start w:val="1"/>
      <w:numFmt w:val="lowerLetter"/>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6C430740"/>
    <w:multiLevelType w:val="hybridMultilevel"/>
    <w:tmpl w:val="C3505E44"/>
    <w:lvl w:ilvl="0" w:tplc="C156B1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8A1CF1"/>
    <w:multiLevelType w:val="hybridMultilevel"/>
    <w:tmpl w:val="8F1E1F5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71621465"/>
    <w:multiLevelType w:val="hybridMultilevel"/>
    <w:tmpl w:val="28186538"/>
    <w:lvl w:ilvl="0" w:tplc="4C4C51D8">
      <w:start w:val="1"/>
      <w:numFmt w:val="decimal"/>
      <w:lvlText w:val="%1)"/>
      <w:lvlJc w:val="left"/>
      <w:pPr>
        <w:ind w:left="1710" w:hanging="360"/>
      </w:pPr>
    </w:lvl>
    <w:lvl w:ilvl="1" w:tplc="50AC6E56" w:tentative="1">
      <w:start w:val="1"/>
      <w:numFmt w:val="lowerLetter"/>
      <w:lvlText w:val="%2."/>
      <w:lvlJc w:val="left"/>
      <w:pPr>
        <w:ind w:left="2430" w:hanging="360"/>
      </w:pPr>
    </w:lvl>
    <w:lvl w:ilvl="2" w:tplc="62AE102C" w:tentative="1">
      <w:start w:val="1"/>
      <w:numFmt w:val="lowerRoman"/>
      <w:lvlText w:val="%3."/>
      <w:lvlJc w:val="right"/>
      <w:pPr>
        <w:ind w:left="3150" w:hanging="180"/>
      </w:pPr>
    </w:lvl>
    <w:lvl w:ilvl="3" w:tplc="C74079E8" w:tentative="1">
      <w:start w:val="1"/>
      <w:numFmt w:val="decimal"/>
      <w:lvlText w:val="%4."/>
      <w:lvlJc w:val="left"/>
      <w:pPr>
        <w:ind w:left="3870" w:hanging="360"/>
      </w:pPr>
    </w:lvl>
    <w:lvl w:ilvl="4" w:tplc="3DF0708A" w:tentative="1">
      <w:start w:val="1"/>
      <w:numFmt w:val="lowerLetter"/>
      <w:lvlText w:val="%5."/>
      <w:lvlJc w:val="left"/>
      <w:pPr>
        <w:ind w:left="4590" w:hanging="360"/>
      </w:pPr>
    </w:lvl>
    <w:lvl w:ilvl="5" w:tplc="CEDED320" w:tentative="1">
      <w:start w:val="1"/>
      <w:numFmt w:val="lowerRoman"/>
      <w:lvlText w:val="%6."/>
      <w:lvlJc w:val="right"/>
      <w:pPr>
        <w:ind w:left="5310" w:hanging="180"/>
      </w:pPr>
    </w:lvl>
    <w:lvl w:ilvl="6" w:tplc="18BE752C" w:tentative="1">
      <w:start w:val="1"/>
      <w:numFmt w:val="decimal"/>
      <w:lvlText w:val="%7."/>
      <w:lvlJc w:val="left"/>
      <w:pPr>
        <w:ind w:left="6030" w:hanging="360"/>
      </w:pPr>
    </w:lvl>
    <w:lvl w:ilvl="7" w:tplc="A38A97C6" w:tentative="1">
      <w:start w:val="1"/>
      <w:numFmt w:val="lowerLetter"/>
      <w:lvlText w:val="%8."/>
      <w:lvlJc w:val="left"/>
      <w:pPr>
        <w:ind w:left="6750" w:hanging="360"/>
      </w:pPr>
    </w:lvl>
    <w:lvl w:ilvl="8" w:tplc="F0F45E92" w:tentative="1">
      <w:start w:val="1"/>
      <w:numFmt w:val="lowerRoman"/>
      <w:lvlText w:val="%9."/>
      <w:lvlJc w:val="right"/>
      <w:pPr>
        <w:ind w:left="7470" w:hanging="180"/>
      </w:pPr>
    </w:lvl>
  </w:abstractNum>
  <w:abstractNum w:abstractNumId="21">
    <w:nsid w:val="735F420E"/>
    <w:multiLevelType w:val="hybridMultilevel"/>
    <w:tmpl w:val="AA4A6EE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nsid w:val="74CC0914"/>
    <w:multiLevelType w:val="hybridMultilevel"/>
    <w:tmpl w:val="5F6AEAF8"/>
    <w:lvl w:ilvl="0" w:tplc="8FE4B9C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711F53"/>
    <w:multiLevelType w:val="hybridMultilevel"/>
    <w:tmpl w:val="8FAC2150"/>
    <w:lvl w:ilvl="0" w:tplc="5F78FFDE">
      <w:start w:val="2"/>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BB7CC1"/>
    <w:multiLevelType w:val="hybridMultilevel"/>
    <w:tmpl w:val="52C83388"/>
    <w:lvl w:ilvl="0" w:tplc="3CC82294">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6"/>
  </w:num>
  <w:num w:numId="4">
    <w:abstractNumId w:val="19"/>
  </w:num>
  <w:num w:numId="5">
    <w:abstractNumId w:val="13"/>
  </w:num>
  <w:num w:numId="6">
    <w:abstractNumId w:val="14"/>
  </w:num>
  <w:num w:numId="7">
    <w:abstractNumId w:val="10"/>
  </w:num>
  <w:num w:numId="8">
    <w:abstractNumId w:val="2"/>
  </w:num>
  <w:num w:numId="9">
    <w:abstractNumId w:val="21"/>
  </w:num>
  <w:num w:numId="10">
    <w:abstractNumId w:val="22"/>
  </w:num>
  <w:num w:numId="11">
    <w:abstractNumId w:val="9"/>
  </w:num>
  <w:num w:numId="12">
    <w:abstractNumId w:val="7"/>
  </w:num>
  <w:num w:numId="13">
    <w:abstractNumId w:val="18"/>
  </w:num>
  <w:num w:numId="14">
    <w:abstractNumId w:val="3"/>
  </w:num>
  <w:num w:numId="15">
    <w:abstractNumId w:val="1"/>
  </w:num>
  <w:num w:numId="16">
    <w:abstractNumId w:val="17"/>
  </w:num>
  <w:num w:numId="17">
    <w:abstractNumId w:val="20"/>
  </w:num>
  <w:num w:numId="18">
    <w:abstractNumId w:val="8"/>
  </w:num>
  <w:num w:numId="19">
    <w:abstractNumId w:val="6"/>
  </w:num>
  <w:num w:numId="20">
    <w:abstractNumId w:val="5"/>
  </w:num>
  <w:num w:numId="21">
    <w:abstractNumId w:val="4"/>
  </w:num>
  <w:num w:numId="22">
    <w:abstractNumId w:val="15"/>
  </w:num>
  <w:num w:numId="23">
    <w:abstractNumId w:val="24"/>
  </w:num>
  <w:num w:numId="24">
    <w:abstractNumId w:val="2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F6920"/>
    <w:rsid w:val="00001A5D"/>
    <w:rsid w:val="00012DAA"/>
    <w:rsid w:val="00016457"/>
    <w:rsid w:val="00042154"/>
    <w:rsid w:val="00052004"/>
    <w:rsid w:val="0007268B"/>
    <w:rsid w:val="00085467"/>
    <w:rsid w:val="000963F1"/>
    <w:rsid w:val="000A1DAB"/>
    <w:rsid w:val="000A1F26"/>
    <w:rsid w:val="000B797C"/>
    <w:rsid w:val="000D78E5"/>
    <w:rsid w:val="000E1123"/>
    <w:rsid w:val="000F1B3E"/>
    <w:rsid w:val="00102157"/>
    <w:rsid w:val="00104215"/>
    <w:rsid w:val="001074D2"/>
    <w:rsid w:val="00115577"/>
    <w:rsid w:val="00121AE8"/>
    <w:rsid w:val="00123F6E"/>
    <w:rsid w:val="00124B42"/>
    <w:rsid w:val="00130C4D"/>
    <w:rsid w:val="00133A1E"/>
    <w:rsid w:val="001518C1"/>
    <w:rsid w:val="001527B9"/>
    <w:rsid w:val="001647CE"/>
    <w:rsid w:val="001660ED"/>
    <w:rsid w:val="00171000"/>
    <w:rsid w:val="00180A51"/>
    <w:rsid w:val="001932DA"/>
    <w:rsid w:val="00195FEA"/>
    <w:rsid w:val="001A5599"/>
    <w:rsid w:val="001D16BB"/>
    <w:rsid w:val="001F6920"/>
    <w:rsid w:val="00212512"/>
    <w:rsid w:val="00212DD7"/>
    <w:rsid w:val="00215900"/>
    <w:rsid w:val="00216029"/>
    <w:rsid w:val="002212EA"/>
    <w:rsid w:val="00227421"/>
    <w:rsid w:val="00227A8A"/>
    <w:rsid w:val="002311DC"/>
    <w:rsid w:val="00236DE2"/>
    <w:rsid w:val="002423A1"/>
    <w:rsid w:val="002453D6"/>
    <w:rsid w:val="00247CB5"/>
    <w:rsid w:val="00252BDC"/>
    <w:rsid w:val="002575E1"/>
    <w:rsid w:val="002666EA"/>
    <w:rsid w:val="0027421B"/>
    <w:rsid w:val="00283AC1"/>
    <w:rsid w:val="0029770B"/>
    <w:rsid w:val="002B43A0"/>
    <w:rsid w:val="002B7ED0"/>
    <w:rsid w:val="002C011B"/>
    <w:rsid w:val="002C27E3"/>
    <w:rsid w:val="002E3531"/>
    <w:rsid w:val="002F5B2F"/>
    <w:rsid w:val="002F7F21"/>
    <w:rsid w:val="00300407"/>
    <w:rsid w:val="00300AFA"/>
    <w:rsid w:val="00305BD4"/>
    <w:rsid w:val="00310774"/>
    <w:rsid w:val="00311A28"/>
    <w:rsid w:val="00317F35"/>
    <w:rsid w:val="00322C01"/>
    <w:rsid w:val="00330A0F"/>
    <w:rsid w:val="00332290"/>
    <w:rsid w:val="0033639A"/>
    <w:rsid w:val="00343D03"/>
    <w:rsid w:val="00357D04"/>
    <w:rsid w:val="0036592E"/>
    <w:rsid w:val="00380304"/>
    <w:rsid w:val="003A7ACF"/>
    <w:rsid w:val="003B042D"/>
    <w:rsid w:val="003D455F"/>
    <w:rsid w:val="003E56F6"/>
    <w:rsid w:val="00405C46"/>
    <w:rsid w:val="00413710"/>
    <w:rsid w:val="00414870"/>
    <w:rsid w:val="0041735B"/>
    <w:rsid w:val="00417FDE"/>
    <w:rsid w:val="0043155C"/>
    <w:rsid w:val="00436F0B"/>
    <w:rsid w:val="00440B61"/>
    <w:rsid w:val="004414A1"/>
    <w:rsid w:val="00442C3B"/>
    <w:rsid w:val="00444F57"/>
    <w:rsid w:val="00447F1E"/>
    <w:rsid w:val="00452002"/>
    <w:rsid w:val="0047131F"/>
    <w:rsid w:val="00471D8B"/>
    <w:rsid w:val="0047449A"/>
    <w:rsid w:val="004840E7"/>
    <w:rsid w:val="00485143"/>
    <w:rsid w:val="00487F94"/>
    <w:rsid w:val="004A62DC"/>
    <w:rsid w:val="004D6EB5"/>
    <w:rsid w:val="00524BCD"/>
    <w:rsid w:val="00535811"/>
    <w:rsid w:val="00535CCF"/>
    <w:rsid w:val="00541A14"/>
    <w:rsid w:val="00542B3E"/>
    <w:rsid w:val="00545CED"/>
    <w:rsid w:val="00556385"/>
    <w:rsid w:val="00573CC0"/>
    <w:rsid w:val="00575E18"/>
    <w:rsid w:val="00581F66"/>
    <w:rsid w:val="00596107"/>
    <w:rsid w:val="005B6747"/>
    <w:rsid w:val="005C7E3C"/>
    <w:rsid w:val="005D4823"/>
    <w:rsid w:val="005D5591"/>
    <w:rsid w:val="005D6360"/>
    <w:rsid w:val="005D78F5"/>
    <w:rsid w:val="005E5D82"/>
    <w:rsid w:val="005F2901"/>
    <w:rsid w:val="006018F6"/>
    <w:rsid w:val="00613201"/>
    <w:rsid w:val="00622F82"/>
    <w:rsid w:val="00625CAA"/>
    <w:rsid w:val="00626A7B"/>
    <w:rsid w:val="00630E98"/>
    <w:rsid w:val="0064057F"/>
    <w:rsid w:val="00643F11"/>
    <w:rsid w:val="00647C2C"/>
    <w:rsid w:val="00651D37"/>
    <w:rsid w:val="00660C1E"/>
    <w:rsid w:val="00663DB8"/>
    <w:rsid w:val="006657CB"/>
    <w:rsid w:val="0068009D"/>
    <w:rsid w:val="006951BF"/>
    <w:rsid w:val="006A1655"/>
    <w:rsid w:val="006A5388"/>
    <w:rsid w:val="006B2704"/>
    <w:rsid w:val="006B6E5A"/>
    <w:rsid w:val="006C426F"/>
    <w:rsid w:val="006C73B4"/>
    <w:rsid w:val="006F1848"/>
    <w:rsid w:val="006F1E76"/>
    <w:rsid w:val="006F3E2B"/>
    <w:rsid w:val="007005E9"/>
    <w:rsid w:val="00702F53"/>
    <w:rsid w:val="007039F5"/>
    <w:rsid w:val="00704D11"/>
    <w:rsid w:val="0073128C"/>
    <w:rsid w:val="00744570"/>
    <w:rsid w:val="00753433"/>
    <w:rsid w:val="007A5FA3"/>
    <w:rsid w:val="007B70D0"/>
    <w:rsid w:val="007C207D"/>
    <w:rsid w:val="007E3D92"/>
    <w:rsid w:val="007E5840"/>
    <w:rsid w:val="007E7F73"/>
    <w:rsid w:val="00805057"/>
    <w:rsid w:val="00806978"/>
    <w:rsid w:val="00810557"/>
    <w:rsid w:val="00811E88"/>
    <w:rsid w:val="008142A2"/>
    <w:rsid w:val="008229BC"/>
    <w:rsid w:val="008361F1"/>
    <w:rsid w:val="00841266"/>
    <w:rsid w:val="00844A45"/>
    <w:rsid w:val="00845594"/>
    <w:rsid w:val="00847C2A"/>
    <w:rsid w:val="00857EB6"/>
    <w:rsid w:val="00876B8D"/>
    <w:rsid w:val="008824E4"/>
    <w:rsid w:val="00896FD7"/>
    <w:rsid w:val="008A02FF"/>
    <w:rsid w:val="008A2762"/>
    <w:rsid w:val="008C66F3"/>
    <w:rsid w:val="008D40C9"/>
    <w:rsid w:val="0090013D"/>
    <w:rsid w:val="00904797"/>
    <w:rsid w:val="00913EB5"/>
    <w:rsid w:val="00914D71"/>
    <w:rsid w:val="0092684D"/>
    <w:rsid w:val="0093288B"/>
    <w:rsid w:val="0096249B"/>
    <w:rsid w:val="00965DA3"/>
    <w:rsid w:val="00993F8B"/>
    <w:rsid w:val="009A3A8B"/>
    <w:rsid w:val="009A4AA5"/>
    <w:rsid w:val="009A6722"/>
    <w:rsid w:val="009C2008"/>
    <w:rsid w:val="009C55C9"/>
    <w:rsid w:val="009C7683"/>
    <w:rsid w:val="009E5967"/>
    <w:rsid w:val="009F02C7"/>
    <w:rsid w:val="009F3052"/>
    <w:rsid w:val="009F33F2"/>
    <w:rsid w:val="00A24E40"/>
    <w:rsid w:val="00A35617"/>
    <w:rsid w:val="00A36E5A"/>
    <w:rsid w:val="00A37037"/>
    <w:rsid w:val="00A46757"/>
    <w:rsid w:val="00A52FF6"/>
    <w:rsid w:val="00A65BF2"/>
    <w:rsid w:val="00A719E6"/>
    <w:rsid w:val="00A771E7"/>
    <w:rsid w:val="00A8525D"/>
    <w:rsid w:val="00AB0FD9"/>
    <w:rsid w:val="00AD4860"/>
    <w:rsid w:val="00AF2699"/>
    <w:rsid w:val="00B070A1"/>
    <w:rsid w:val="00B07BAB"/>
    <w:rsid w:val="00B208BC"/>
    <w:rsid w:val="00B30CF7"/>
    <w:rsid w:val="00B33C9A"/>
    <w:rsid w:val="00B80981"/>
    <w:rsid w:val="00B812A2"/>
    <w:rsid w:val="00B827B4"/>
    <w:rsid w:val="00B84221"/>
    <w:rsid w:val="00B97F01"/>
    <w:rsid w:val="00BA2254"/>
    <w:rsid w:val="00BA3360"/>
    <w:rsid w:val="00BB10E5"/>
    <w:rsid w:val="00BB57EE"/>
    <w:rsid w:val="00BB7F6B"/>
    <w:rsid w:val="00BD24CB"/>
    <w:rsid w:val="00BD679B"/>
    <w:rsid w:val="00BE1C5F"/>
    <w:rsid w:val="00BE5DCF"/>
    <w:rsid w:val="00C0273A"/>
    <w:rsid w:val="00C1547F"/>
    <w:rsid w:val="00C22DFE"/>
    <w:rsid w:val="00C31B41"/>
    <w:rsid w:val="00C36360"/>
    <w:rsid w:val="00C41E2B"/>
    <w:rsid w:val="00C571D1"/>
    <w:rsid w:val="00C606F7"/>
    <w:rsid w:val="00C63D10"/>
    <w:rsid w:val="00C6570B"/>
    <w:rsid w:val="00C82FA4"/>
    <w:rsid w:val="00C97164"/>
    <w:rsid w:val="00CA4E46"/>
    <w:rsid w:val="00CB72A3"/>
    <w:rsid w:val="00CC1AF2"/>
    <w:rsid w:val="00CD1F59"/>
    <w:rsid w:val="00CE2ADF"/>
    <w:rsid w:val="00CE4991"/>
    <w:rsid w:val="00CE55B3"/>
    <w:rsid w:val="00CF015B"/>
    <w:rsid w:val="00D443D3"/>
    <w:rsid w:val="00D541CD"/>
    <w:rsid w:val="00D56C02"/>
    <w:rsid w:val="00D66CFC"/>
    <w:rsid w:val="00D6790A"/>
    <w:rsid w:val="00D71663"/>
    <w:rsid w:val="00D72E82"/>
    <w:rsid w:val="00D7366E"/>
    <w:rsid w:val="00D74CAD"/>
    <w:rsid w:val="00D76B5C"/>
    <w:rsid w:val="00D85753"/>
    <w:rsid w:val="00D93B97"/>
    <w:rsid w:val="00D94AF8"/>
    <w:rsid w:val="00DA319E"/>
    <w:rsid w:val="00DA4A59"/>
    <w:rsid w:val="00DA6FE4"/>
    <w:rsid w:val="00DB08E1"/>
    <w:rsid w:val="00DC55ED"/>
    <w:rsid w:val="00DD4891"/>
    <w:rsid w:val="00DF3015"/>
    <w:rsid w:val="00DF70C0"/>
    <w:rsid w:val="00E16AB6"/>
    <w:rsid w:val="00E2061F"/>
    <w:rsid w:val="00E21CA0"/>
    <w:rsid w:val="00E23816"/>
    <w:rsid w:val="00E24921"/>
    <w:rsid w:val="00E264E9"/>
    <w:rsid w:val="00E33A79"/>
    <w:rsid w:val="00E42F23"/>
    <w:rsid w:val="00E71F25"/>
    <w:rsid w:val="00E741A9"/>
    <w:rsid w:val="00E77157"/>
    <w:rsid w:val="00E82737"/>
    <w:rsid w:val="00E831F7"/>
    <w:rsid w:val="00EB2061"/>
    <w:rsid w:val="00EC4415"/>
    <w:rsid w:val="00ED3F1B"/>
    <w:rsid w:val="00ED5F18"/>
    <w:rsid w:val="00EE4062"/>
    <w:rsid w:val="00EE64A2"/>
    <w:rsid w:val="00EF0BC0"/>
    <w:rsid w:val="00EF4E4B"/>
    <w:rsid w:val="00F01CB3"/>
    <w:rsid w:val="00F10EF7"/>
    <w:rsid w:val="00F12FD9"/>
    <w:rsid w:val="00F14268"/>
    <w:rsid w:val="00F21042"/>
    <w:rsid w:val="00F22C30"/>
    <w:rsid w:val="00F322F2"/>
    <w:rsid w:val="00F3490E"/>
    <w:rsid w:val="00F51FAA"/>
    <w:rsid w:val="00F6102D"/>
    <w:rsid w:val="00F71752"/>
    <w:rsid w:val="00F83024"/>
    <w:rsid w:val="00F92830"/>
    <w:rsid w:val="00F92E47"/>
    <w:rsid w:val="00FB4CC0"/>
    <w:rsid w:val="00FD5071"/>
    <w:rsid w:val="00FD7815"/>
    <w:rsid w:val="00FE0CA7"/>
    <w:rsid w:val="00FE2745"/>
    <w:rsid w:val="00FF17EB"/>
    <w:rsid w:val="00FF47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DC"/>
  </w:style>
  <w:style w:type="paragraph" w:styleId="Heading1">
    <w:name w:val="heading 1"/>
    <w:basedOn w:val="Normal"/>
    <w:next w:val="Normal"/>
    <w:link w:val="Heading1Char"/>
    <w:qFormat/>
    <w:rsid w:val="0041735B"/>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2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2F2"/>
    <w:rPr>
      <w:rFonts w:ascii="Tahoma" w:hAnsi="Tahoma" w:cs="Tahoma"/>
      <w:sz w:val="16"/>
      <w:szCs w:val="16"/>
    </w:rPr>
  </w:style>
  <w:style w:type="paragraph" w:styleId="Header">
    <w:name w:val="header"/>
    <w:basedOn w:val="Normal"/>
    <w:link w:val="HeaderChar"/>
    <w:uiPriority w:val="99"/>
    <w:unhideWhenUsed/>
    <w:rsid w:val="00573CC0"/>
    <w:pPr>
      <w:tabs>
        <w:tab w:val="center" w:pos="4680"/>
        <w:tab w:val="right" w:pos="9360"/>
      </w:tabs>
      <w:spacing w:line="240" w:lineRule="auto"/>
    </w:pPr>
  </w:style>
  <w:style w:type="character" w:customStyle="1" w:styleId="HeaderChar">
    <w:name w:val="Header Char"/>
    <w:basedOn w:val="DefaultParagraphFont"/>
    <w:link w:val="Header"/>
    <w:uiPriority w:val="99"/>
    <w:rsid w:val="00573CC0"/>
  </w:style>
  <w:style w:type="paragraph" w:styleId="Footer">
    <w:name w:val="footer"/>
    <w:basedOn w:val="Normal"/>
    <w:link w:val="FooterChar"/>
    <w:uiPriority w:val="99"/>
    <w:unhideWhenUsed/>
    <w:rsid w:val="00573CC0"/>
    <w:pPr>
      <w:tabs>
        <w:tab w:val="center" w:pos="4680"/>
        <w:tab w:val="right" w:pos="9360"/>
      </w:tabs>
      <w:spacing w:line="240" w:lineRule="auto"/>
    </w:pPr>
  </w:style>
  <w:style w:type="character" w:customStyle="1" w:styleId="FooterChar">
    <w:name w:val="Footer Char"/>
    <w:basedOn w:val="DefaultParagraphFont"/>
    <w:link w:val="Footer"/>
    <w:uiPriority w:val="99"/>
    <w:rsid w:val="00573CC0"/>
  </w:style>
  <w:style w:type="paragraph" w:styleId="ListParagraph">
    <w:name w:val="List Paragraph"/>
    <w:aliases w:val="skripsi,Body Text Char1,Char Char2,List Paragraph2,List Paragraph1"/>
    <w:basedOn w:val="Normal"/>
    <w:link w:val="ListParagraphChar"/>
    <w:uiPriority w:val="34"/>
    <w:qFormat/>
    <w:rsid w:val="006F1E76"/>
    <w:pPr>
      <w:ind w:left="720"/>
      <w:contextualSpacing/>
    </w:pPr>
  </w:style>
  <w:style w:type="paragraph" w:styleId="BodyText">
    <w:name w:val="Body Text"/>
    <w:basedOn w:val="Normal"/>
    <w:link w:val="BodyTextChar"/>
    <w:uiPriority w:val="99"/>
    <w:rsid w:val="006F1E76"/>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6F1E76"/>
    <w:rPr>
      <w:rFonts w:ascii="Times New Roman" w:eastAsia="Times New Roman" w:hAnsi="Times New Roman" w:cs="Times New Roman"/>
      <w:sz w:val="24"/>
      <w:szCs w:val="24"/>
      <w:lang w:val="en-GB"/>
    </w:rPr>
  </w:style>
  <w:style w:type="paragraph" w:customStyle="1" w:styleId="Default">
    <w:name w:val="Default"/>
    <w:rsid w:val="002423A1"/>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12512"/>
    <w:rPr>
      <w:color w:val="0563C1" w:themeColor="hyperlink"/>
      <w:u w:val="single"/>
    </w:rPr>
  </w:style>
  <w:style w:type="paragraph" w:styleId="HTMLPreformatted">
    <w:name w:val="HTML Preformatted"/>
    <w:basedOn w:val="Normal"/>
    <w:link w:val="HTMLPreformattedChar"/>
    <w:uiPriority w:val="99"/>
    <w:unhideWhenUsed/>
    <w:rsid w:val="00C97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7164"/>
    <w:rPr>
      <w:rFonts w:ascii="Courier New" w:eastAsia="Times New Roman" w:hAnsi="Courier New" w:cs="Courier New"/>
      <w:sz w:val="20"/>
      <w:szCs w:val="20"/>
    </w:rPr>
  </w:style>
  <w:style w:type="character" w:customStyle="1" w:styleId="ListParagraphChar">
    <w:name w:val="List Paragraph Char"/>
    <w:aliases w:val="skripsi Char,Body Text Char1 Char,Char Char2 Char,List Paragraph2 Char,List Paragraph1 Char"/>
    <w:link w:val="ListParagraph"/>
    <w:uiPriority w:val="34"/>
    <w:rsid w:val="00A24E40"/>
  </w:style>
  <w:style w:type="table" w:styleId="TableGrid">
    <w:name w:val="Table Grid"/>
    <w:basedOn w:val="TableNormal"/>
    <w:uiPriority w:val="39"/>
    <w:rsid w:val="00F92830"/>
    <w:pPr>
      <w:spacing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1735B"/>
    <w:rPr>
      <w:rFonts w:ascii="Calibri Light" w:eastAsia="Times New Roman" w:hAnsi="Calibri Light" w:cs="Times New Roman"/>
      <w:b/>
      <w:bCs/>
      <w:kern w:val="32"/>
      <w:sz w:val="32"/>
      <w:szCs w:val="32"/>
    </w:rPr>
  </w:style>
  <w:style w:type="paragraph" w:styleId="Bibliography">
    <w:name w:val="Bibliography"/>
    <w:basedOn w:val="Normal"/>
    <w:next w:val="Normal"/>
    <w:uiPriority w:val="37"/>
    <w:unhideWhenUsed/>
    <w:rsid w:val="00DF3015"/>
    <w:pPr>
      <w:spacing w:after="200" w:line="27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310939">
      <w:bodyDiv w:val="1"/>
      <w:marLeft w:val="0"/>
      <w:marRight w:val="0"/>
      <w:marTop w:val="0"/>
      <w:marBottom w:val="0"/>
      <w:divBdr>
        <w:top w:val="none" w:sz="0" w:space="0" w:color="auto"/>
        <w:left w:val="none" w:sz="0" w:space="0" w:color="auto"/>
        <w:bottom w:val="none" w:sz="0" w:space="0" w:color="auto"/>
        <w:right w:val="none" w:sz="0" w:space="0" w:color="auto"/>
      </w:divBdr>
    </w:div>
    <w:div w:id="89157222">
      <w:bodyDiv w:val="1"/>
      <w:marLeft w:val="0"/>
      <w:marRight w:val="0"/>
      <w:marTop w:val="0"/>
      <w:marBottom w:val="0"/>
      <w:divBdr>
        <w:top w:val="none" w:sz="0" w:space="0" w:color="auto"/>
        <w:left w:val="none" w:sz="0" w:space="0" w:color="auto"/>
        <w:bottom w:val="none" w:sz="0" w:space="0" w:color="auto"/>
        <w:right w:val="none" w:sz="0" w:space="0" w:color="auto"/>
      </w:divBdr>
    </w:div>
    <w:div w:id="180242090">
      <w:bodyDiv w:val="1"/>
      <w:marLeft w:val="0"/>
      <w:marRight w:val="0"/>
      <w:marTop w:val="0"/>
      <w:marBottom w:val="0"/>
      <w:divBdr>
        <w:top w:val="none" w:sz="0" w:space="0" w:color="auto"/>
        <w:left w:val="none" w:sz="0" w:space="0" w:color="auto"/>
        <w:bottom w:val="none" w:sz="0" w:space="0" w:color="auto"/>
        <w:right w:val="none" w:sz="0" w:space="0" w:color="auto"/>
      </w:divBdr>
    </w:div>
    <w:div w:id="198054248">
      <w:bodyDiv w:val="1"/>
      <w:marLeft w:val="0"/>
      <w:marRight w:val="0"/>
      <w:marTop w:val="0"/>
      <w:marBottom w:val="0"/>
      <w:divBdr>
        <w:top w:val="none" w:sz="0" w:space="0" w:color="auto"/>
        <w:left w:val="none" w:sz="0" w:space="0" w:color="auto"/>
        <w:bottom w:val="none" w:sz="0" w:space="0" w:color="auto"/>
        <w:right w:val="none" w:sz="0" w:space="0" w:color="auto"/>
      </w:divBdr>
    </w:div>
    <w:div w:id="334919870">
      <w:bodyDiv w:val="1"/>
      <w:marLeft w:val="0"/>
      <w:marRight w:val="0"/>
      <w:marTop w:val="0"/>
      <w:marBottom w:val="0"/>
      <w:divBdr>
        <w:top w:val="none" w:sz="0" w:space="0" w:color="auto"/>
        <w:left w:val="none" w:sz="0" w:space="0" w:color="auto"/>
        <w:bottom w:val="none" w:sz="0" w:space="0" w:color="auto"/>
        <w:right w:val="none" w:sz="0" w:space="0" w:color="auto"/>
      </w:divBdr>
    </w:div>
    <w:div w:id="341401319">
      <w:bodyDiv w:val="1"/>
      <w:marLeft w:val="0"/>
      <w:marRight w:val="0"/>
      <w:marTop w:val="0"/>
      <w:marBottom w:val="0"/>
      <w:divBdr>
        <w:top w:val="none" w:sz="0" w:space="0" w:color="auto"/>
        <w:left w:val="none" w:sz="0" w:space="0" w:color="auto"/>
        <w:bottom w:val="none" w:sz="0" w:space="0" w:color="auto"/>
        <w:right w:val="none" w:sz="0" w:space="0" w:color="auto"/>
      </w:divBdr>
    </w:div>
    <w:div w:id="519974961">
      <w:bodyDiv w:val="1"/>
      <w:marLeft w:val="0"/>
      <w:marRight w:val="0"/>
      <w:marTop w:val="0"/>
      <w:marBottom w:val="0"/>
      <w:divBdr>
        <w:top w:val="none" w:sz="0" w:space="0" w:color="auto"/>
        <w:left w:val="none" w:sz="0" w:space="0" w:color="auto"/>
        <w:bottom w:val="none" w:sz="0" w:space="0" w:color="auto"/>
        <w:right w:val="none" w:sz="0" w:space="0" w:color="auto"/>
      </w:divBdr>
    </w:div>
    <w:div w:id="534926542">
      <w:bodyDiv w:val="1"/>
      <w:marLeft w:val="0"/>
      <w:marRight w:val="0"/>
      <w:marTop w:val="0"/>
      <w:marBottom w:val="0"/>
      <w:divBdr>
        <w:top w:val="none" w:sz="0" w:space="0" w:color="auto"/>
        <w:left w:val="none" w:sz="0" w:space="0" w:color="auto"/>
        <w:bottom w:val="none" w:sz="0" w:space="0" w:color="auto"/>
        <w:right w:val="none" w:sz="0" w:space="0" w:color="auto"/>
      </w:divBdr>
    </w:div>
    <w:div w:id="684408361">
      <w:bodyDiv w:val="1"/>
      <w:marLeft w:val="0"/>
      <w:marRight w:val="0"/>
      <w:marTop w:val="0"/>
      <w:marBottom w:val="0"/>
      <w:divBdr>
        <w:top w:val="none" w:sz="0" w:space="0" w:color="auto"/>
        <w:left w:val="none" w:sz="0" w:space="0" w:color="auto"/>
        <w:bottom w:val="none" w:sz="0" w:space="0" w:color="auto"/>
        <w:right w:val="none" w:sz="0" w:space="0" w:color="auto"/>
      </w:divBdr>
      <w:divsChild>
        <w:div w:id="513768491">
          <w:marLeft w:val="0"/>
          <w:marRight w:val="0"/>
          <w:marTop w:val="0"/>
          <w:marBottom w:val="0"/>
          <w:divBdr>
            <w:top w:val="none" w:sz="0" w:space="0" w:color="auto"/>
            <w:left w:val="none" w:sz="0" w:space="0" w:color="auto"/>
            <w:bottom w:val="none" w:sz="0" w:space="0" w:color="auto"/>
            <w:right w:val="none" w:sz="0" w:space="0" w:color="auto"/>
          </w:divBdr>
        </w:div>
      </w:divsChild>
    </w:div>
    <w:div w:id="828863987">
      <w:bodyDiv w:val="1"/>
      <w:marLeft w:val="0"/>
      <w:marRight w:val="0"/>
      <w:marTop w:val="0"/>
      <w:marBottom w:val="0"/>
      <w:divBdr>
        <w:top w:val="none" w:sz="0" w:space="0" w:color="auto"/>
        <w:left w:val="none" w:sz="0" w:space="0" w:color="auto"/>
        <w:bottom w:val="none" w:sz="0" w:space="0" w:color="auto"/>
        <w:right w:val="none" w:sz="0" w:space="0" w:color="auto"/>
      </w:divBdr>
    </w:div>
    <w:div w:id="1314677855">
      <w:bodyDiv w:val="1"/>
      <w:marLeft w:val="0"/>
      <w:marRight w:val="0"/>
      <w:marTop w:val="0"/>
      <w:marBottom w:val="0"/>
      <w:divBdr>
        <w:top w:val="none" w:sz="0" w:space="0" w:color="auto"/>
        <w:left w:val="none" w:sz="0" w:space="0" w:color="auto"/>
        <w:bottom w:val="none" w:sz="0" w:space="0" w:color="auto"/>
        <w:right w:val="none" w:sz="0" w:space="0" w:color="auto"/>
      </w:divBdr>
    </w:div>
    <w:div w:id="1426219794">
      <w:bodyDiv w:val="1"/>
      <w:marLeft w:val="0"/>
      <w:marRight w:val="0"/>
      <w:marTop w:val="0"/>
      <w:marBottom w:val="0"/>
      <w:divBdr>
        <w:top w:val="none" w:sz="0" w:space="0" w:color="auto"/>
        <w:left w:val="none" w:sz="0" w:space="0" w:color="auto"/>
        <w:bottom w:val="none" w:sz="0" w:space="0" w:color="auto"/>
        <w:right w:val="none" w:sz="0" w:space="0" w:color="auto"/>
      </w:divBdr>
    </w:div>
    <w:div w:id="1487933041">
      <w:bodyDiv w:val="1"/>
      <w:marLeft w:val="0"/>
      <w:marRight w:val="0"/>
      <w:marTop w:val="0"/>
      <w:marBottom w:val="0"/>
      <w:divBdr>
        <w:top w:val="none" w:sz="0" w:space="0" w:color="auto"/>
        <w:left w:val="none" w:sz="0" w:space="0" w:color="auto"/>
        <w:bottom w:val="none" w:sz="0" w:space="0" w:color="auto"/>
        <w:right w:val="none" w:sz="0" w:space="0" w:color="auto"/>
      </w:divBdr>
    </w:div>
    <w:div w:id="1675573231">
      <w:bodyDiv w:val="1"/>
      <w:marLeft w:val="0"/>
      <w:marRight w:val="0"/>
      <w:marTop w:val="0"/>
      <w:marBottom w:val="0"/>
      <w:divBdr>
        <w:top w:val="none" w:sz="0" w:space="0" w:color="auto"/>
        <w:left w:val="none" w:sz="0" w:space="0" w:color="auto"/>
        <w:bottom w:val="none" w:sz="0" w:space="0" w:color="auto"/>
        <w:right w:val="none" w:sz="0" w:space="0" w:color="auto"/>
      </w:divBdr>
      <w:divsChild>
        <w:div w:id="625239703">
          <w:marLeft w:val="0"/>
          <w:marRight w:val="0"/>
          <w:marTop w:val="0"/>
          <w:marBottom w:val="0"/>
          <w:divBdr>
            <w:top w:val="none" w:sz="0" w:space="0" w:color="auto"/>
            <w:left w:val="none" w:sz="0" w:space="0" w:color="auto"/>
            <w:bottom w:val="none" w:sz="0" w:space="0" w:color="auto"/>
            <w:right w:val="none" w:sz="0" w:space="0" w:color="auto"/>
          </w:divBdr>
          <w:divsChild>
            <w:div w:id="482429741">
              <w:marLeft w:val="0"/>
              <w:marRight w:val="0"/>
              <w:marTop w:val="0"/>
              <w:marBottom w:val="0"/>
              <w:divBdr>
                <w:top w:val="none" w:sz="0" w:space="0" w:color="auto"/>
                <w:left w:val="none" w:sz="0" w:space="0" w:color="auto"/>
                <w:bottom w:val="none" w:sz="0" w:space="0" w:color="auto"/>
                <w:right w:val="none" w:sz="0" w:space="0" w:color="auto"/>
              </w:divBdr>
              <w:divsChild>
                <w:div w:id="1898737879">
                  <w:marLeft w:val="0"/>
                  <w:marRight w:val="0"/>
                  <w:marTop w:val="0"/>
                  <w:marBottom w:val="0"/>
                  <w:divBdr>
                    <w:top w:val="none" w:sz="0" w:space="0" w:color="auto"/>
                    <w:left w:val="none" w:sz="0" w:space="0" w:color="auto"/>
                    <w:bottom w:val="none" w:sz="0" w:space="0" w:color="auto"/>
                    <w:right w:val="none" w:sz="0" w:space="0" w:color="auto"/>
                  </w:divBdr>
                  <w:divsChild>
                    <w:div w:id="3229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00033">
      <w:bodyDiv w:val="1"/>
      <w:marLeft w:val="0"/>
      <w:marRight w:val="0"/>
      <w:marTop w:val="0"/>
      <w:marBottom w:val="0"/>
      <w:divBdr>
        <w:top w:val="none" w:sz="0" w:space="0" w:color="auto"/>
        <w:left w:val="none" w:sz="0" w:space="0" w:color="auto"/>
        <w:bottom w:val="none" w:sz="0" w:space="0" w:color="auto"/>
        <w:right w:val="none" w:sz="0" w:space="0" w:color="auto"/>
      </w:divBdr>
      <w:divsChild>
        <w:div w:id="1725131609">
          <w:marLeft w:val="0"/>
          <w:marRight w:val="0"/>
          <w:marTop w:val="0"/>
          <w:marBottom w:val="0"/>
          <w:divBdr>
            <w:top w:val="none" w:sz="0" w:space="0" w:color="auto"/>
            <w:left w:val="none" w:sz="0" w:space="0" w:color="auto"/>
            <w:bottom w:val="none" w:sz="0" w:space="0" w:color="auto"/>
            <w:right w:val="none" w:sz="0" w:space="0" w:color="auto"/>
          </w:divBdr>
          <w:divsChild>
            <w:div w:id="686175308">
              <w:marLeft w:val="0"/>
              <w:marRight w:val="0"/>
              <w:marTop w:val="0"/>
              <w:marBottom w:val="0"/>
              <w:divBdr>
                <w:top w:val="none" w:sz="0" w:space="0" w:color="auto"/>
                <w:left w:val="none" w:sz="0" w:space="0" w:color="auto"/>
                <w:bottom w:val="none" w:sz="0" w:space="0" w:color="auto"/>
                <w:right w:val="none" w:sz="0" w:space="0" w:color="auto"/>
              </w:divBdr>
              <w:divsChild>
                <w:div w:id="1743723303">
                  <w:marLeft w:val="0"/>
                  <w:marRight w:val="0"/>
                  <w:marTop w:val="0"/>
                  <w:marBottom w:val="0"/>
                  <w:divBdr>
                    <w:top w:val="none" w:sz="0" w:space="0" w:color="auto"/>
                    <w:left w:val="none" w:sz="0" w:space="0" w:color="auto"/>
                    <w:bottom w:val="none" w:sz="0" w:space="0" w:color="auto"/>
                    <w:right w:val="none" w:sz="0" w:space="0" w:color="auto"/>
                  </w:divBdr>
                  <w:divsChild>
                    <w:div w:id="16735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363700">
      <w:bodyDiv w:val="1"/>
      <w:marLeft w:val="0"/>
      <w:marRight w:val="0"/>
      <w:marTop w:val="0"/>
      <w:marBottom w:val="0"/>
      <w:divBdr>
        <w:top w:val="none" w:sz="0" w:space="0" w:color="auto"/>
        <w:left w:val="none" w:sz="0" w:space="0" w:color="auto"/>
        <w:bottom w:val="none" w:sz="0" w:space="0" w:color="auto"/>
        <w:right w:val="none" w:sz="0" w:space="0" w:color="auto"/>
      </w:divBdr>
      <w:divsChild>
        <w:div w:id="135683195">
          <w:marLeft w:val="0"/>
          <w:marRight w:val="0"/>
          <w:marTop w:val="0"/>
          <w:marBottom w:val="0"/>
          <w:divBdr>
            <w:top w:val="none" w:sz="0" w:space="0" w:color="auto"/>
            <w:left w:val="none" w:sz="0" w:space="0" w:color="auto"/>
            <w:bottom w:val="none" w:sz="0" w:space="0" w:color="auto"/>
            <w:right w:val="none" w:sz="0" w:space="0" w:color="auto"/>
          </w:divBdr>
          <w:divsChild>
            <w:div w:id="1278022504">
              <w:marLeft w:val="0"/>
              <w:marRight w:val="0"/>
              <w:marTop w:val="0"/>
              <w:marBottom w:val="0"/>
              <w:divBdr>
                <w:top w:val="none" w:sz="0" w:space="0" w:color="auto"/>
                <w:left w:val="none" w:sz="0" w:space="0" w:color="auto"/>
                <w:bottom w:val="none" w:sz="0" w:space="0" w:color="auto"/>
                <w:right w:val="none" w:sz="0" w:space="0" w:color="auto"/>
              </w:divBdr>
              <w:divsChild>
                <w:div w:id="594897125">
                  <w:marLeft w:val="0"/>
                  <w:marRight w:val="0"/>
                  <w:marTop w:val="0"/>
                  <w:marBottom w:val="0"/>
                  <w:divBdr>
                    <w:top w:val="none" w:sz="0" w:space="0" w:color="auto"/>
                    <w:left w:val="none" w:sz="0" w:space="0" w:color="auto"/>
                    <w:bottom w:val="none" w:sz="0" w:space="0" w:color="auto"/>
                    <w:right w:val="none" w:sz="0" w:space="0" w:color="auto"/>
                  </w:divBdr>
                  <w:divsChild>
                    <w:div w:id="1655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ikarina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go.id"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E6BE7-CB10-44B0-AD55-6BFB3AEE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2020-03-29T23:33:00Z</cp:lastPrinted>
  <dcterms:created xsi:type="dcterms:W3CDTF">2020-08-15T04:17:00Z</dcterms:created>
  <dcterms:modified xsi:type="dcterms:W3CDTF">2020-08-15T04:17:00Z</dcterms:modified>
</cp:coreProperties>
</file>